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CA" w:rsidRDefault="009478CA" w:rsidP="009478CA">
      <w:pPr>
        <w:pStyle w:val="Heading1"/>
        <w:rPr>
          <w:rFonts w:ascii="Arial Narrow" w:hAnsi="Arial Narrow"/>
          <w:sz w:val="36"/>
          <w:szCs w:val="36"/>
        </w:rPr>
      </w:pPr>
      <w:bookmarkStart w:id="0" w:name="_Toc333225387"/>
      <w:r>
        <w:rPr>
          <w:rFonts w:ascii="Arial Narrow" w:hAnsi="Arial Narrow"/>
          <w:sz w:val="36"/>
          <w:szCs w:val="36"/>
        </w:rPr>
        <w:t>Constant Prices</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9478CA" w:rsidTr="009478CA">
        <w:tc>
          <w:tcPr>
            <w:tcW w:w="9134" w:type="dxa"/>
            <w:tcBorders>
              <w:top w:val="single" w:sz="4" w:space="0" w:color="auto"/>
              <w:left w:val="single" w:sz="4" w:space="0" w:color="auto"/>
              <w:bottom w:val="single" w:sz="4" w:space="0" w:color="auto"/>
              <w:right w:val="single" w:sz="4" w:space="0" w:color="auto"/>
            </w:tcBorders>
            <w:shd w:val="clear" w:color="auto" w:fill="95B3D7"/>
            <w:hideMark/>
          </w:tcPr>
          <w:p w:rsidR="009478CA" w:rsidRDefault="009478CA">
            <w:pPr>
              <w:spacing w:after="0" w:line="240" w:lineRule="auto"/>
              <w:jc w:val="center"/>
              <w:rPr>
                <w:rFonts w:ascii="Arial Narrow" w:hAnsi="Arial Narrow"/>
                <w:b/>
                <w:i/>
                <w:sz w:val="24"/>
              </w:rPr>
            </w:pPr>
            <w:r>
              <w:rPr>
                <w:rFonts w:ascii="Arial Narrow" w:hAnsi="Arial Narrow"/>
                <w:b/>
                <w:i/>
                <w:sz w:val="24"/>
              </w:rPr>
              <w:t xml:space="preserve">Expressing values in constant prices involves adjusting prices to correct for inflation so that they are expressing purchasing power, or value, on a ‘constant’ or comparable basis between years. This enables an assessment to be made of the true benefits of an intervention.  </w:t>
            </w:r>
          </w:p>
        </w:tc>
      </w:tr>
    </w:tbl>
    <w:p w:rsidR="009478CA" w:rsidRDefault="009478CA" w:rsidP="009478CA">
      <w:pPr>
        <w:spacing w:after="0"/>
        <w:rPr>
          <w:rFonts w:ascii="Arial Narrow" w:hAnsi="Arial Narrow"/>
          <w:sz w:val="24"/>
        </w:rPr>
      </w:pPr>
    </w:p>
    <w:p w:rsidR="009478CA" w:rsidRDefault="009478CA" w:rsidP="009478CA">
      <w:pPr>
        <w:rPr>
          <w:rFonts w:ascii="Arial Narrow" w:hAnsi="Arial Narrow"/>
          <w:b/>
          <w:sz w:val="28"/>
          <w:szCs w:val="28"/>
        </w:rPr>
      </w:pPr>
      <w:r>
        <w:rPr>
          <w:rFonts w:ascii="Arial Narrow" w:hAnsi="Arial Narrow"/>
          <w:b/>
          <w:sz w:val="28"/>
          <w:szCs w:val="28"/>
        </w:rPr>
        <w:t>Why is it important?</w:t>
      </w:r>
    </w:p>
    <w:p w:rsidR="009478CA" w:rsidRDefault="009478CA" w:rsidP="009478CA">
      <w:pPr>
        <w:jc w:val="both"/>
        <w:rPr>
          <w:rFonts w:ascii="Arial Narrow" w:hAnsi="Arial Narrow"/>
          <w:sz w:val="24"/>
        </w:rPr>
      </w:pPr>
      <w:r>
        <w:rPr>
          <w:rFonts w:ascii="Arial Narrow" w:hAnsi="Arial Narrow"/>
          <w:sz w:val="24"/>
        </w:rPr>
        <w:t xml:space="preserve">When prices paid for things in the past are remembered, or past company turnovers looked at, these are expressed in values relating to that particular year, that is </w:t>
      </w:r>
      <w:r>
        <w:rPr>
          <w:rFonts w:ascii="Arial Narrow" w:hAnsi="Arial Narrow"/>
          <w:b/>
          <w:sz w:val="24"/>
        </w:rPr>
        <w:t>current prices</w:t>
      </w:r>
      <w:r>
        <w:rPr>
          <w:rFonts w:ascii="Arial Narrow" w:hAnsi="Arial Narrow"/>
          <w:sz w:val="24"/>
        </w:rPr>
        <w:t xml:space="preserve">.  To compare these values with today’s there is a need to adjust for price inflation or deflation, which will have altered prices in the intervening years.  This enables comparisons to be made on a like-for-like basis.   </w:t>
      </w:r>
    </w:p>
    <w:p w:rsidR="009478CA" w:rsidRDefault="009478CA" w:rsidP="009478CA">
      <w:pPr>
        <w:jc w:val="both"/>
        <w:rPr>
          <w:rFonts w:ascii="Arial Narrow" w:hAnsi="Arial Narrow"/>
          <w:sz w:val="24"/>
        </w:rPr>
      </w:pPr>
      <w:r>
        <w:rPr>
          <w:rFonts w:ascii="Arial Narrow" w:hAnsi="Arial Narrow"/>
          <w:sz w:val="24"/>
        </w:rPr>
        <w:t>It is important to adjust fo</w:t>
      </w:r>
      <w:r w:rsidR="00B23A91">
        <w:rPr>
          <w:rFonts w:ascii="Arial Narrow" w:hAnsi="Arial Narrow"/>
          <w:sz w:val="24"/>
        </w:rPr>
        <w:t xml:space="preserve">r such inflationary effects in </w:t>
      </w:r>
      <w:r>
        <w:rPr>
          <w:rFonts w:ascii="Arial Narrow" w:hAnsi="Arial Narrow"/>
          <w:sz w:val="24"/>
        </w:rPr>
        <w:t xml:space="preserve">price </w:t>
      </w:r>
      <w:r w:rsidR="00B23A91">
        <w:rPr>
          <w:rFonts w:ascii="Arial Narrow" w:hAnsi="Arial Narrow"/>
          <w:sz w:val="24"/>
        </w:rPr>
        <w:t xml:space="preserve">data in order to ensure that </w:t>
      </w:r>
      <w:r>
        <w:rPr>
          <w:rFonts w:ascii="Arial Narrow" w:hAnsi="Arial Narrow"/>
          <w:sz w:val="24"/>
        </w:rPr>
        <w:t>values are being compared on a consistent, comparable basis.  Most past data will be quoted without such an adjustment: for example consider company turnovers of £100m, £101m and £102m over three years.  These suggest that turnover rose slowly over the period (by around 1% a year).  However, if inflation had been 2% per year, the real value of turnover has actually reduced, giving a different interpretation of performance.</w:t>
      </w:r>
    </w:p>
    <w:p w:rsidR="009478CA" w:rsidRDefault="009478CA" w:rsidP="009478CA">
      <w:pPr>
        <w:jc w:val="both"/>
        <w:rPr>
          <w:rFonts w:ascii="Arial Narrow" w:hAnsi="Arial Narrow"/>
          <w:sz w:val="24"/>
        </w:rPr>
      </w:pPr>
      <w:r>
        <w:rPr>
          <w:rFonts w:ascii="Arial Narrow" w:hAnsi="Arial Narrow"/>
          <w:sz w:val="24"/>
        </w:rPr>
        <w:t xml:space="preserve">In appraisals and evaluations, therefore, it is important to adjust prices between years for inflationary effects, so that real rather than nominal values are being compared.  </w:t>
      </w:r>
    </w:p>
    <w:p w:rsidR="009478CA" w:rsidRDefault="009478CA" w:rsidP="009478CA">
      <w:pPr>
        <w:jc w:val="both"/>
        <w:rPr>
          <w:rFonts w:ascii="Arial Narrow" w:hAnsi="Arial Narrow"/>
          <w:sz w:val="24"/>
        </w:rPr>
      </w:pPr>
      <w:r>
        <w:rPr>
          <w:rFonts w:ascii="Arial Narrow" w:hAnsi="Arial Narrow"/>
          <w:sz w:val="24"/>
        </w:rPr>
        <w:t xml:space="preserve">Converting to constant prices must not be confused with </w:t>
      </w:r>
      <w:r>
        <w:rPr>
          <w:rFonts w:ascii="Arial Narrow" w:hAnsi="Arial Narrow"/>
          <w:b/>
          <w:sz w:val="24"/>
        </w:rPr>
        <w:t>discounting</w:t>
      </w:r>
      <w:r>
        <w:rPr>
          <w:rFonts w:ascii="Arial Narrow" w:hAnsi="Arial Narrow"/>
          <w:sz w:val="24"/>
        </w:rPr>
        <w:t xml:space="preserve"> which is a separate process. This adjusts for the “rate of time preference” to produce calculations of present values. This reflects the fact that, all other things being equal, human beings place greater value on benefits delivered now rather than in the future. This also enables comparisons to be made between costs and benefits that are delivered over different time periods. Calculating constant prices, by contrast, is a procedure which focuses on “real” changes over time, controlling for the effect of price inflation. Generally both adjustments will be made to impacts. An example of this is shown below.</w:t>
      </w:r>
    </w:p>
    <w:p w:rsidR="009478CA" w:rsidRDefault="009478CA" w:rsidP="009478CA">
      <w:pPr>
        <w:jc w:val="both"/>
        <w:rPr>
          <w:rFonts w:ascii="Arial Narrow" w:hAnsi="Arial Narrow"/>
          <w:b/>
          <w:sz w:val="28"/>
          <w:szCs w:val="28"/>
        </w:rPr>
      </w:pPr>
      <w:r>
        <w:rPr>
          <w:rFonts w:ascii="Arial Narrow" w:hAnsi="Arial Narrow"/>
          <w:b/>
          <w:sz w:val="28"/>
          <w:szCs w:val="28"/>
        </w:rPr>
        <w:t>Adjusting future prices</w:t>
      </w:r>
    </w:p>
    <w:p w:rsidR="009478CA" w:rsidRDefault="009478CA" w:rsidP="009478CA">
      <w:pPr>
        <w:jc w:val="both"/>
        <w:rPr>
          <w:rFonts w:ascii="Arial Narrow" w:hAnsi="Arial Narrow"/>
          <w:sz w:val="24"/>
          <w:szCs w:val="24"/>
        </w:rPr>
      </w:pPr>
      <w:r>
        <w:rPr>
          <w:rFonts w:ascii="Arial Narrow" w:hAnsi="Arial Narrow"/>
          <w:sz w:val="24"/>
          <w:szCs w:val="24"/>
        </w:rPr>
        <w:t>The Green Book</w:t>
      </w:r>
      <w:r>
        <w:rPr>
          <w:rStyle w:val="FootnoteReference"/>
          <w:rFonts w:ascii="Arial Narrow" w:hAnsi="Arial Narrow"/>
          <w:sz w:val="24"/>
          <w:szCs w:val="24"/>
        </w:rPr>
        <w:footnoteReference w:id="1"/>
      </w:r>
      <w:r>
        <w:rPr>
          <w:rFonts w:ascii="Arial Narrow" w:hAnsi="Arial Narrow"/>
          <w:sz w:val="24"/>
          <w:szCs w:val="24"/>
        </w:rPr>
        <w:t xml:space="preserve"> states that:-</w:t>
      </w:r>
    </w:p>
    <w:p w:rsidR="009478CA" w:rsidRDefault="009478CA" w:rsidP="009478CA">
      <w:pPr>
        <w:jc w:val="both"/>
        <w:rPr>
          <w:rFonts w:ascii="Arial Narrow" w:hAnsi="Arial Narrow"/>
          <w:i/>
          <w:sz w:val="24"/>
          <w:szCs w:val="24"/>
        </w:rPr>
      </w:pPr>
      <w:r>
        <w:rPr>
          <w:rFonts w:ascii="Arial Narrow" w:hAnsi="Arial Narrow"/>
          <w:i/>
          <w:sz w:val="24"/>
          <w:szCs w:val="24"/>
        </w:rPr>
        <w:t>“5.43</w:t>
      </w:r>
      <w:r w:rsidR="00B23A91">
        <w:rPr>
          <w:rFonts w:ascii="Arial Narrow" w:hAnsi="Arial Narrow"/>
          <w:i/>
          <w:sz w:val="24"/>
          <w:szCs w:val="24"/>
        </w:rPr>
        <w:t>:</w:t>
      </w:r>
      <w:r>
        <w:rPr>
          <w:rFonts w:ascii="Arial Narrow" w:hAnsi="Arial Narrow"/>
          <w:i/>
          <w:sz w:val="24"/>
          <w:szCs w:val="24"/>
        </w:rPr>
        <w:t xml:space="preserve"> If necessary, the effect of future inflation in the general price level should be removed by deflating future cash flows by forecast levels of the relevant deflator. Over a long time period, the Bank of England’s annual inflation target is the appropriate measure of prices to use as the general deflator.” (p.25).</w:t>
      </w:r>
    </w:p>
    <w:p w:rsidR="009478CA" w:rsidRDefault="009478CA" w:rsidP="009478CA">
      <w:pPr>
        <w:jc w:val="both"/>
        <w:rPr>
          <w:rFonts w:ascii="Arial Narrow" w:hAnsi="Arial Narrow"/>
          <w:sz w:val="24"/>
          <w:szCs w:val="24"/>
        </w:rPr>
      </w:pPr>
      <w:r>
        <w:rPr>
          <w:rFonts w:ascii="Arial Narrow" w:hAnsi="Arial Narrow"/>
          <w:sz w:val="24"/>
          <w:szCs w:val="24"/>
        </w:rPr>
        <w:t>The operative words are “</w:t>
      </w:r>
      <w:r>
        <w:rPr>
          <w:rFonts w:ascii="Arial Narrow" w:hAnsi="Arial Narrow"/>
          <w:i/>
          <w:sz w:val="24"/>
          <w:szCs w:val="24"/>
        </w:rPr>
        <w:t>if necessary</w:t>
      </w:r>
      <w:r>
        <w:rPr>
          <w:rFonts w:ascii="Arial Narrow" w:hAnsi="Arial Narrow"/>
          <w:sz w:val="24"/>
          <w:szCs w:val="24"/>
        </w:rPr>
        <w:t>”.  Experience within SE highlights the inconsistency with which future impa</w:t>
      </w:r>
      <w:r w:rsidR="00B23A91">
        <w:rPr>
          <w:rFonts w:ascii="Arial Narrow" w:hAnsi="Arial Narrow"/>
          <w:sz w:val="24"/>
          <w:szCs w:val="24"/>
        </w:rPr>
        <w:t xml:space="preserve">cts are reported. For example, </w:t>
      </w:r>
      <w:r>
        <w:rPr>
          <w:rFonts w:ascii="Arial Narrow" w:hAnsi="Arial Narrow"/>
          <w:sz w:val="24"/>
          <w:szCs w:val="24"/>
        </w:rPr>
        <w:t xml:space="preserve">if impacts are forecast into the future from a base year, such </w:t>
      </w:r>
      <w:r>
        <w:rPr>
          <w:rFonts w:ascii="Arial Narrow" w:hAnsi="Arial Narrow"/>
          <w:sz w:val="24"/>
          <w:szCs w:val="24"/>
        </w:rPr>
        <w:lastRenderedPageBreak/>
        <w:t>as 2013, then more often than not these will be in constant, rather than current, prices. For example, impacts at 2017</w:t>
      </w:r>
      <w:r w:rsidR="00B23A91">
        <w:rPr>
          <w:rFonts w:ascii="Arial Narrow" w:hAnsi="Arial Narrow"/>
          <w:sz w:val="24"/>
          <w:szCs w:val="24"/>
        </w:rPr>
        <w:t xml:space="preserve"> </w:t>
      </w:r>
      <w:r>
        <w:rPr>
          <w:rFonts w:ascii="Arial Narrow" w:hAnsi="Arial Narrow"/>
          <w:sz w:val="24"/>
          <w:szCs w:val="24"/>
        </w:rPr>
        <w:t>will be given in 2013 prices rather than current prices derived by factoring in notional annual inflation rates. If these future impacts are then deflated, as the Green Book suggests could be done, then effectively they will be reduced. However, there is no justification for making such an adjustment as the values are already in constant prices.</w:t>
      </w:r>
    </w:p>
    <w:p w:rsidR="009478CA" w:rsidRDefault="00B23A91" w:rsidP="009478CA">
      <w:pPr>
        <w:jc w:val="both"/>
        <w:rPr>
          <w:rFonts w:ascii="Arial Narrow" w:hAnsi="Arial Narrow"/>
          <w:sz w:val="24"/>
        </w:rPr>
      </w:pPr>
      <w:r>
        <w:rPr>
          <w:rFonts w:ascii="Arial Narrow" w:hAnsi="Arial Narrow"/>
          <w:sz w:val="24"/>
        </w:rPr>
        <w:t xml:space="preserve">Unless it is clear as to </w:t>
      </w:r>
      <w:r w:rsidR="009478CA">
        <w:rPr>
          <w:rFonts w:ascii="Arial Narrow" w:hAnsi="Arial Narrow"/>
          <w:sz w:val="24"/>
        </w:rPr>
        <w:t xml:space="preserve">the price base being used for reporting future impacts then it should be assumed that these are expressed in today’s prices. Accordingly they should not be </w:t>
      </w:r>
      <w:r w:rsidR="00BD67CB">
        <w:rPr>
          <w:rFonts w:ascii="Arial Narrow" w:hAnsi="Arial Narrow"/>
          <w:sz w:val="24"/>
        </w:rPr>
        <w:t xml:space="preserve">adjusted in </w:t>
      </w:r>
      <w:r w:rsidR="009478CA">
        <w:rPr>
          <w:rFonts w:ascii="Arial Narrow" w:hAnsi="Arial Narrow"/>
          <w:sz w:val="24"/>
        </w:rPr>
        <w:t xml:space="preserve">appraisals or evaluations.    </w:t>
      </w:r>
    </w:p>
    <w:p w:rsidR="009478CA" w:rsidRDefault="009478CA" w:rsidP="009478CA">
      <w:pPr>
        <w:jc w:val="both"/>
        <w:rPr>
          <w:rFonts w:ascii="Arial Narrow" w:hAnsi="Arial Narrow"/>
          <w:b/>
          <w:sz w:val="28"/>
          <w:szCs w:val="28"/>
        </w:rPr>
      </w:pPr>
      <w:r>
        <w:rPr>
          <w:rFonts w:ascii="Arial Narrow" w:hAnsi="Arial Narrow"/>
          <w:sz w:val="24"/>
        </w:rPr>
        <w:t>However, where it is clear that annual rates of inflation have been factored into forecast values then it is appropriate to deflate these to the appropriate price base.</w:t>
      </w:r>
    </w:p>
    <w:p w:rsidR="009478CA" w:rsidRDefault="009478CA" w:rsidP="009478CA">
      <w:pPr>
        <w:jc w:val="both"/>
        <w:rPr>
          <w:rFonts w:ascii="Arial Narrow" w:hAnsi="Arial Narrow"/>
          <w:b/>
          <w:sz w:val="28"/>
          <w:szCs w:val="28"/>
        </w:rPr>
      </w:pPr>
      <w:r>
        <w:rPr>
          <w:rFonts w:ascii="Arial Narrow" w:hAnsi="Arial Narrow"/>
          <w:b/>
          <w:sz w:val="28"/>
          <w:szCs w:val="28"/>
        </w:rPr>
        <w:t>When do we need to convert to constant prices?</w:t>
      </w:r>
    </w:p>
    <w:p w:rsidR="009478CA" w:rsidRDefault="009478CA" w:rsidP="009478CA">
      <w:pPr>
        <w:jc w:val="both"/>
        <w:rPr>
          <w:rFonts w:ascii="Arial Narrow" w:hAnsi="Arial Narrow"/>
          <w:sz w:val="24"/>
        </w:rPr>
      </w:pPr>
      <w:r>
        <w:rPr>
          <w:rFonts w:ascii="Arial Narrow" w:hAnsi="Arial Narrow"/>
          <w:sz w:val="24"/>
        </w:rPr>
        <w:t xml:space="preserve">All EIAs involving data from </w:t>
      </w:r>
      <w:r>
        <w:rPr>
          <w:rFonts w:ascii="Arial Narrow" w:hAnsi="Arial Narrow"/>
          <w:b/>
          <w:sz w:val="24"/>
        </w:rPr>
        <w:t xml:space="preserve">past </w:t>
      </w:r>
      <w:r>
        <w:rPr>
          <w:rFonts w:ascii="Arial Narrow" w:hAnsi="Arial Narrow"/>
          <w:sz w:val="24"/>
        </w:rPr>
        <w:t xml:space="preserve">years need values to be adjusted to constant prices. Future values are not adjusted as these will be given in constant prices with no inflation being factored in.  </w:t>
      </w:r>
    </w:p>
    <w:p w:rsidR="009478CA" w:rsidRDefault="009478CA" w:rsidP="009478CA">
      <w:pPr>
        <w:jc w:val="both"/>
        <w:rPr>
          <w:rFonts w:ascii="Arial Narrow" w:hAnsi="Arial Narrow"/>
          <w:b/>
          <w:sz w:val="28"/>
          <w:szCs w:val="28"/>
        </w:rPr>
      </w:pPr>
      <w:r>
        <w:rPr>
          <w:rFonts w:ascii="Arial Narrow" w:hAnsi="Arial Narrow"/>
          <w:b/>
          <w:sz w:val="28"/>
          <w:szCs w:val="28"/>
        </w:rPr>
        <w:t>How do we convert to constant prices?</w:t>
      </w:r>
    </w:p>
    <w:p w:rsidR="009478CA" w:rsidRDefault="009478CA" w:rsidP="009478CA">
      <w:pPr>
        <w:jc w:val="both"/>
        <w:rPr>
          <w:rFonts w:ascii="Arial Narrow" w:hAnsi="Arial Narrow"/>
          <w:sz w:val="24"/>
        </w:rPr>
      </w:pPr>
      <w:r>
        <w:rPr>
          <w:rFonts w:ascii="Arial Narrow" w:hAnsi="Arial Narrow"/>
          <w:sz w:val="24"/>
        </w:rPr>
        <w:t>Monetary values expressed in current prices can be converted to constant prices using the formula:-</w:t>
      </w:r>
    </w:p>
    <w:p w:rsidR="009478CA" w:rsidRDefault="009478CA" w:rsidP="009478CA">
      <w:pPr>
        <w:jc w:val="center"/>
        <w:rPr>
          <w:rFonts w:ascii="Arial Narrow" w:hAnsi="Arial Narrow"/>
          <w:sz w:val="24"/>
        </w:rPr>
      </w:pPr>
      <w:r>
        <w:rPr>
          <w:rFonts w:ascii="Arial Narrow" w:hAnsi="Arial Narrow"/>
          <w:sz w:val="24"/>
        </w:rPr>
        <w:t>V</w:t>
      </w:r>
      <w:r>
        <w:rPr>
          <w:rFonts w:ascii="Arial Narrow" w:hAnsi="Arial Narrow"/>
          <w:sz w:val="24"/>
          <w:vertAlign w:val="subscript"/>
        </w:rPr>
        <w:t>cox</w:t>
      </w:r>
      <w:r>
        <w:rPr>
          <w:rFonts w:ascii="Arial Narrow" w:hAnsi="Arial Narrow"/>
          <w:sz w:val="24"/>
        </w:rPr>
        <w:t>=V</w:t>
      </w:r>
      <w:r>
        <w:rPr>
          <w:rFonts w:ascii="Arial Narrow" w:hAnsi="Arial Narrow"/>
          <w:sz w:val="24"/>
          <w:vertAlign w:val="subscript"/>
        </w:rPr>
        <w:t xml:space="preserve">curi </w:t>
      </w:r>
      <w:r>
        <w:rPr>
          <w:rFonts w:ascii="Arial Narrow" w:hAnsi="Arial Narrow"/>
          <w:sz w:val="24"/>
        </w:rPr>
        <w:t xml:space="preserve"> * (P</w:t>
      </w:r>
      <w:r>
        <w:rPr>
          <w:rFonts w:ascii="Arial Narrow" w:hAnsi="Arial Narrow"/>
          <w:sz w:val="24"/>
          <w:vertAlign w:val="subscript"/>
        </w:rPr>
        <w:t>x</w:t>
      </w:r>
      <w:r>
        <w:rPr>
          <w:rFonts w:ascii="Arial Narrow" w:hAnsi="Arial Narrow"/>
          <w:sz w:val="24"/>
        </w:rPr>
        <w:t>/P</w:t>
      </w:r>
      <w:r>
        <w:rPr>
          <w:rFonts w:ascii="Arial Narrow" w:hAnsi="Arial Narrow"/>
          <w:sz w:val="24"/>
          <w:vertAlign w:val="subscript"/>
        </w:rPr>
        <w:t>i</w:t>
      </w:r>
      <w:r>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i/>
          <w:sz w:val="24"/>
        </w:rPr>
        <w:t>(1)</w:t>
      </w:r>
    </w:p>
    <w:p w:rsidR="009478CA" w:rsidRDefault="009478CA" w:rsidP="009478CA">
      <w:pPr>
        <w:jc w:val="both"/>
        <w:rPr>
          <w:rFonts w:ascii="Arial Narrow" w:hAnsi="Arial Narrow"/>
          <w:sz w:val="24"/>
        </w:rPr>
      </w:pPr>
      <w:r>
        <w:rPr>
          <w:rFonts w:ascii="Arial Narrow" w:hAnsi="Arial Narrow"/>
          <w:sz w:val="24"/>
        </w:rPr>
        <w:t>Where:-</w:t>
      </w:r>
    </w:p>
    <w:p w:rsidR="009478CA" w:rsidRDefault="009478CA" w:rsidP="009478CA">
      <w:pPr>
        <w:numPr>
          <w:ilvl w:val="0"/>
          <w:numId w:val="1"/>
        </w:numPr>
        <w:jc w:val="both"/>
        <w:rPr>
          <w:rFonts w:ascii="Arial Narrow" w:hAnsi="Arial Narrow"/>
          <w:sz w:val="24"/>
        </w:rPr>
      </w:pPr>
      <w:r>
        <w:rPr>
          <w:rFonts w:ascii="Arial Narrow" w:hAnsi="Arial Narrow"/>
          <w:sz w:val="24"/>
        </w:rPr>
        <w:t>V</w:t>
      </w:r>
      <w:r>
        <w:rPr>
          <w:rFonts w:ascii="Arial Narrow" w:hAnsi="Arial Narrow"/>
          <w:sz w:val="24"/>
          <w:vertAlign w:val="subscript"/>
        </w:rPr>
        <w:t>cox</w:t>
      </w:r>
      <w:r>
        <w:rPr>
          <w:rFonts w:ascii="Arial Narrow" w:hAnsi="Arial Narrow"/>
          <w:sz w:val="24"/>
        </w:rPr>
        <w:t xml:space="preserve"> is the value expressed in </w:t>
      </w:r>
      <w:r>
        <w:rPr>
          <w:rFonts w:ascii="Arial Narrow" w:hAnsi="Arial Narrow"/>
          <w:b/>
          <w:sz w:val="24"/>
        </w:rPr>
        <w:t>constant prices</w:t>
      </w:r>
      <w:r>
        <w:rPr>
          <w:rFonts w:ascii="Arial Narrow" w:hAnsi="Arial Narrow"/>
          <w:sz w:val="24"/>
        </w:rPr>
        <w:t xml:space="preserve"> for the year for which constant prices are to be calculated (Year x), the base year;</w:t>
      </w:r>
    </w:p>
    <w:p w:rsidR="009478CA" w:rsidRDefault="009478CA" w:rsidP="009478CA">
      <w:pPr>
        <w:numPr>
          <w:ilvl w:val="0"/>
          <w:numId w:val="1"/>
        </w:numPr>
        <w:jc w:val="both"/>
        <w:rPr>
          <w:rFonts w:ascii="Arial Narrow" w:hAnsi="Arial Narrow"/>
          <w:sz w:val="24"/>
        </w:rPr>
      </w:pPr>
      <w:r>
        <w:rPr>
          <w:rFonts w:ascii="Arial Narrow" w:hAnsi="Arial Narrow"/>
          <w:sz w:val="24"/>
        </w:rPr>
        <w:t xml:space="preserve"> </w:t>
      </w:r>
      <w:r>
        <w:rPr>
          <w:rFonts w:ascii="Arial Narrow" w:hAnsi="Arial Narrow"/>
          <w:sz w:val="24"/>
          <w:szCs w:val="24"/>
        </w:rPr>
        <w:t>V</w:t>
      </w:r>
      <w:r>
        <w:rPr>
          <w:rFonts w:ascii="Arial Narrow" w:hAnsi="Arial Narrow"/>
          <w:sz w:val="24"/>
          <w:szCs w:val="24"/>
          <w:vertAlign w:val="subscript"/>
        </w:rPr>
        <w:t xml:space="preserve">curi </w:t>
      </w:r>
      <w:r>
        <w:rPr>
          <w:rFonts w:ascii="Arial Narrow" w:hAnsi="Arial Narrow"/>
          <w:sz w:val="24"/>
          <w:szCs w:val="24"/>
        </w:rPr>
        <w:t>i</w:t>
      </w:r>
      <w:r>
        <w:rPr>
          <w:rFonts w:ascii="Arial Narrow" w:hAnsi="Arial Narrow"/>
          <w:sz w:val="24"/>
        </w:rPr>
        <w:t xml:space="preserve">s the value expressed in the </w:t>
      </w:r>
      <w:r>
        <w:rPr>
          <w:rFonts w:ascii="Arial Narrow" w:hAnsi="Arial Narrow"/>
          <w:b/>
          <w:sz w:val="24"/>
        </w:rPr>
        <w:t>current prices</w:t>
      </w:r>
      <w:r>
        <w:rPr>
          <w:rFonts w:ascii="Arial Narrow" w:hAnsi="Arial Narrow"/>
          <w:sz w:val="24"/>
        </w:rPr>
        <w:t xml:space="preserve"> applying in Year i; and </w:t>
      </w:r>
    </w:p>
    <w:p w:rsidR="009478CA" w:rsidRDefault="009478CA" w:rsidP="009478CA">
      <w:pPr>
        <w:numPr>
          <w:ilvl w:val="0"/>
          <w:numId w:val="1"/>
        </w:numPr>
        <w:jc w:val="both"/>
        <w:rPr>
          <w:rFonts w:ascii="Arial Narrow" w:hAnsi="Arial Narrow"/>
          <w:sz w:val="24"/>
        </w:rPr>
      </w:pPr>
      <w:r>
        <w:rPr>
          <w:rFonts w:ascii="Arial Narrow" w:hAnsi="Arial Narrow"/>
          <w:sz w:val="24"/>
        </w:rPr>
        <w:t>P refers to the price index applying in Years x and i, with x being the base year of 100.</w:t>
      </w:r>
    </w:p>
    <w:p w:rsidR="009478CA" w:rsidRDefault="009478CA" w:rsidP="009478CA">
      <w:pPr>
        <w:jc w:val="both"/>
        <w:rPr>
          <w:rFonts w:ascii="Arial Narrow" w:hAnsi="Arial Narrow"/>
          <w:sz w:val="24"/>
        </w:rPr>
      </w:pPr>
      <w:r>
        <w:rPr>
          <w:rFonts w:ascii="Arial Narrow" w:hAnsi="Arial Narrow"/>
          <w:sz w:val="24"/>
        </w:rPr>
        <w:t xml:space="preserve">For example, using the above formula </w:t>
      </w:r>
      <w:r>
        <w:rPr>
          <w:rFonts w:ascii="Arial Narrow" w:hAnsi="Arial Narrow"/>
          <w:i/>
          <w:sz w:val="24"/>
        </w:rPr>
        <w:t>(1)</w:t>
      </w:r>
      <w:r>
        <w:rPr>
          <w:rFonts w:ascii="Arial Narrow" w:hAnsi="Arial Narrow"/>
          <w:sz w:val="24"/>
        </w:rPr>
        <w:t xml:space="preserve"> if:-</w:t>
      </w:r>
    </w:p>
    <w:p w:rsidR="009478CA" w:rsidRDefault="009478CA" w:rsidP="009478CA">
      <w:pPr>
        <w:numPr>
          <w:ilvl w:val="0"/>
          <w:numId w:val="2"/>
        </w:numPr>
        <w:jc w:val="both"/>
        <w:rPr>
          <w:rFonts w:ascii="Arial Narrow" w:hAnsi="Arial Narrow"/>
          <w:sz w:val="24"/>
        </w:rPr>
      </w:pPr>
      <w:r>
        <w:rPr>
          <w:rFonts w:ascii="Arial Narrow" w:hAnsi="Arial Narrow"/>
          <w:sz w:val="24"/>
          <w:szCs w:val="24"/>
        </w:rPr>
        <w:t>V</w:t>
      </w:r>
      <w:r>
        <w:rPr>
          <w:rFonts w:ascii="Arial Narrow" w:hAnsi="Arial Narrow"/>
          <w:sz w:val="24"/>
          <w:szCs w:val="24"/>
          <w:vertAlign w:val="subscript"/>
        </w:rPr>
        <w:t xml:space="preserve">curi </w:t>
      </w:r>
      <w:r>
        <w:rPr>
          <w:rFonts w:ascii="Arial Narrow" w:hAnsi="Arial Narrow"/>
          <w:sz w:val="24"/>
          <w:szCs w:val="24"/>
        </w:rPr>
        <w:t>=</w:t>
      </w:r>
      <w:r>
        <w:rPr>
          <w:rFonts w:ascii="Arial Narrow" w:hAnsi="Arial Narrow"/>
          <w:sz w:val="24"/>
        </w:rPr>
        <w:t xml:space="preserve"> £250,000;</w:t>
      </w:r>
    </w:p>
    <w:p w:rsidR="009478CA" w:rsidRDefault="009478CA" w:rsidP="009478CA">
      <w:pPr>
        <w:numPr>
          <w:ilvl w:val="0"/>
          <w:numId w:val="2"/>
        </w:numPr>
        <w:jc w:val="both"/>
        <w:rPr>
          <w:rFonts w:ascii="Arial Narrow" w:hAnsi="Arial Narrow"/>
          <w:sz w:val="24"/>
        </w:rPr>
      </w:pPr>
      <w:r>
        <w:rPr>
          <w:rFonts w:ascii="Arial Narrow" w:hAnsi="Arial Narrow"/>
          <w:sz w:val="24"/>
        </w:rPr>
        <w:t>P</w:t>
      </w:r>
      <w:r>
        <w:rPr>
          <w:rFonts w:ascii="Arial Narrow" w:hAnsi="Arial Narrow"/>
          <w:sz w:val="24"/>
          <w:vertAlign w:val="subscript"/>
        </w:rPr>
        <w:t xml:space="preserve">x </w:t>
      </w:r>
      <w:r>
        <w:rPr>
          <w:rFonts w:ascii="Arial Narrow" w:hAnsi="Arial Narrow"/>
          <w:sz w:val="24"/>
        </w:rPr>
        <w:t>=</w:t>
      </w:r>
      <w:r>
        <w:rPr>
          <w:rFonts w:ascii="Arial Narrow" w:hAnsi="Arial Narrow"/>
          <w:sz w:val="24"/>
          <w:vertAlign w:val="subscript"/>
        </w:rPr>
        <w:t xml:space="preserve"> </w:t>
      </w:r>
      <w:r>
        <w:rPr>
          <w:rFonts w:ascii="Arial Narrow" w:hAnsi="Arial Narrow"/>
          <w:sz w:val="24"/>
        </w:rPr>
        <w:t>100; and</w:t>
      </w:r>
    </w:p>
    <w:p w:rsidR="009478CA" w:rsidRDefault="009478CA" w:rsidP="009478CA">
      <w:pPr>
        <w:numPr>
          <w:ilvl w:val="0"/>
          <w:numId w:val="2"/>
        </w:numPr>
        <w:jc w:val="both"/>
        <w:rPr>
          <w:rFonts w:ascii="Arial Narrow" w:hAnsi="Arial Narrow"/>
          <w:sz w:val="24"/>
        </w:rPr>
      </w:pPr>
      <w:r>
        <w:rPr>
          <w:rFonts w:ascii="Arial Narrow" w:hAnsi="Arial Narrow"/>
          <w:sz w:val="24"/>
        </w:rPr>
        <w:t>P</w:t>
      </w:r>
      <w:r>
        <w:rPr>
          <w:rFonts w:ascii="Arial Narrow" w:hAnsi="Arial Narrow"/>
          <w:sz w:val="24"/>
          <w:vertAlign w:val="subscript"/>
        </w:rPr>
        <w:t xml:space="preserve">i </w:t>
      </w:r>
      <w:r>
        <w:rPr>
          <w:rFonts w:ascii="Arial Narrow" w:hAnsi="Arial Narrow"/>
          <w:sz w:val="24"/>
        </w:rPr>
        <w:t>= 102 (reflecting 2% inflation over the period x-i).</w:t>
      </w:r>
    </w:p>
    <w:p w:rsidR="009478CA" w:rsidRDefault="009478CA" w:rsidP="009478CA">
      <w:pPr>
        <w:jc w:val="both"/>
        <w:rPr>
          <w:rFonts w:ascii="Arial Narrow" w:hAnsi="Arial Narrow"/>
          <w:sz w:val="24"/>
        </w:rPr>
      </w:pPr>
      <w:r>
        <w:rPr>
          <w:rFonts w:ascii="Arial Narrow" w:hAnsi="Arial Narrow"/>
          <w:sz w:val="24"/>
        </w:rPr>
        <w:t>Then:-</w:t>
      </w:r>
    </w:p>
    <w:p w:rsidR="009478CA" w:rsidRDefault="009478CA" w:rsidP="009478CA">
      <w:pPr>
        <w:ind w:left="360"/>
        <w:jc w:val="center"/>
        <w:rPr>
          <w:rFonts w:ascii="Arial Narrow" w:hAnsi="Arial Narrow"/>
          <w:sz w:val="24"/>
        </w:rPr>
      </w:pPr>
      <w:r>
        <w:rPr>
          <w:rFonts w:ascii="Arial Narrow" w:hAnsi="Arial Narrow"/>
          <w:sz w:val="24"/>
        </w:rPr>
        <w:t>V</w:t>
      </w:r>
      <w:r>
        <w:rPr>
          <w:rFonts w:ascii="Arial Narrow" w:hAnsi="Arial Narrow"/>
          <w:sz w:val="24"/>
          <w:vertAlign w:val="subscript"/>
        </w:rPr>
        <w:t xml:space="preserve">cox </w:t>
      </w:r>
      <w:r>
        <w:rPr>
          <w:rFonts w:ascii="Arial Narrow" w:hAnsi="Arial Narrow"/>
          <w:sz w:val="24"/>
        </w:rPr>
        <w:t>= £250,000 X (100/102)</w:t>
      </w:r>
    </w:p>
    <w:p w:rsidR="009478CA" w:rsidRDefault="009478CA" w:rsidP="009478CA">
      <w:pPr>
        <w:ind w:left="360"/>
        <w:jc w:val="center"/>
        <w:rPr>
          <w:rFonts w:ascii="Arial Narrow" w:hAnsi="Arial Narrow"/>
          <w:sz w:val="24"/>
        </w:rPr>
      </w:pPr>
      <w:r>
        <w:rPr>
          <w:rFonts w:ascii="Arial Narrow" w:hAnsi="Arial Narrow"/>
          <w:sz w:val="24"/>
        </w:rPr>
        <w:t>= £245,098</w:t>
      </w:r>
    </w:p>
    <w:p w:rsidR="009478CA" w:rsidRDefault="009478CA" w:rsidP="009478CA">
      <w:pPr>
        <w:jc w:val="both"/>
        <w:rPr>
          <w:rFonts w:ascii="Arial Narrow" w:hAnsi="Arial Narrow"/>
          <w:b/>
          <w:sz w:val="28"/>
          <w:szCs w:val="28"/>
        </w:rPr>
      </w:pPr>
      <w:r>
        <w:rPr>
          <w:rFonts w:ascii="Arial Narrow" w:hAnsi="Arial Narrow"/>
          <w:sz w:val="24"/>
        </w:rPr>
        <w:t>Thus the value</w:t>
      </w:r>
      <w:r w:rsidR="00BD67CB">
        <w:rPr>
          <w:rFonts w:ascii="Arial Narrow" w:hAnsi="Arial Narrow"/>
          <w:sz w:val="24"/>
        </w:rPr>
        <w:t xml:space="preserve"> </w:t>
      </w:r>
      <w:r>
        <w:rPr>
          <w:rFonts w:ascii="Arial Narrow" w:hAnsi="Arial Narrow"/>
          <w:sz w:val="24"/>
        </w:rPr>
        <w:t>to be used, expressed as constant prices at the base year x, is £245,098 rather than the current value of £250,000.</w:t>
      </w:r>
    </w:p>
    <w:p w:rsidR="009478CA" w:rsidRDefault="009478CA" w:rsidP="009478CA">
      <w:pPr>
        <w:jc w:val="both"/>
        <w:rPr>
          <w:rFonts w:ascii="Arial Narrow" w:hAnsi="Arial Narrow"/>
          <w:b/>
          <w:sz w:val="28"/>
          <w:szCs w:val="28"/>
        </w:rPr>
      </w:pPr>
      <w:r>
        <w:rPr>
          <w:rFonts w:ascii="Arial Narrow" w:hAnsi="Arial Narrow"/>
          <w:b/>
          <w:sz w:val="28"/>
          <w:szCs w:val="28"/>
        </w:rPr>
        <w:lastRenderedPageBreak/>
        <w:t>Where do we get the data on past price levels?</w:t>
      </w:r>
    </w:p>
    <w:p w:rsidR="009478CA" w:rsidRDefault="009478CA" w:rsidP="009478CA">
      <w:pPr>
        <w:jc w:val="both"/>
        <w:rPr>
          <w:rFonts w:ascii="Arial Narrow" w:hAnsi="Arial Narrow"/>
          <w:sz w:val="24"/>
        </w:rPr>
      </w:pPr>
      <w:r>
        <w:rPr>
          <w:rFonts w:ascii="Arial Narrow" w:hAnsi="Arial Narrow"/>
          <w:sz w:val="24"/>
        </w:rPr>
        <w:t>The Office for National Statistics publishes time-series data for GDP deflators</w:t>
      </w:r>
      <w:r>
        <w:rPr>
          <w:rStyle w:val="FootnoteReference"/>
          <w:rFonts w:ascii="Arial Narrow" w:hAnsi="Arial Narrow"/>
          <w:sz w:val="24"/>
        </w:rPr>
        <w:footnoteReference w:id="2"/>
      </w:r>
      <w:r>
        <w:rPr>
          <w:rFonts w:ascii="Arial Narrow" w:hAnsi="Arial Narrow"/>
          <w:sz w:val="24"/>
        </w:rPr>
        <w:t xml:space="preserve">.  These quote past prices in relation to a current base year of 100.0. </w:t>
      </w:r>
    </w:p>
    <w:p w:rsidR="009478CA" w:rsidRDefault="009478CA" w:rsidP="009478CA">
      <w:pPr>
        <w:jc w:val="both"/>
        <w:rPr>
          <w:rFonts w:ascii="Arial Narrow" w:hAnsi="Arial Narrow"/>
          <w:b/>
          <w:sz w:val="28"/>
          <w:szCs w:val="28"/>
        </w:rPr>
      </w:pPr>
      <w:r>
        <w:rPr>
          <w:rFonts w:ascii="Arial Narrow" w:hAnsi="Arial Narrow"/>
          <w:b/>
          <w:sz w:val="28"/>
          <w:szCs w:val="28"/>
        </w:rPr>
        <w:t>Calculating Constant Prices</w:t>
      </w:r>
    </w:p>
    <w:p w:rsidR="009478CA" w:rsidRDefault="009478CA" w:rsidP="009478CA">
      <w:pPr>
        <w:jc w:val="both"/>
        <w:rPr>
          <w:rFonts w:ascii="Arial Narrow" w:hAnsi="Arial Narrow"/>
          <w:color w:val="FF0000"/>
          <w:sz w:val="24"/>
        </w:rPr>
      </w:pPr>
      <w:r>
        <w:rPr>
          <w:rFonts w:ascii="Arial Narrow" w:hAnsi="Arial Narrow"/>
          <w:sz w:val="24"/>
        </w:rPr>
        <w:t xml:space="preserve">Table 1 shows the current price estimates of GVA arising from the evaluation of one of SE’s interventions over a 5 year period.  The price index for the base year is 100 and the relevant indices for the earlier years (reflecting inflation) are shown. </w:t>
      </w:r>
    </w:p>
    <w:p w:rsidR="009478CA" w:rsidRDefault="009478CA" w:rsidP="009478CA">
      <w:pPr>
        <w:spacing w:after="0"/>
        <w:jc w:val="both"/>
        <w:rPr>
          <w:rFonts w:ascii="Arial Narrow" w:hAnsi="Arial Narrow"/>
          <w:sz w:val="24"/>
        </w:rPr>
      </w:pPr>
      <w:r>
        <w:rPr>
          <w:rFonts w:ascii="Arial Narrow" w:hAnsi="Arial Narrow"/>
          <w:sz w:val="24"/>
        </w:rPr>
        <w:t xml:space="preserve">To calculate the value of the current price GVA impact of £500,000 in Year -4 in constant prices (at Year 0), these relevant values can be substituted into the formula:- </w:t>
      </w:r>
    </w:p>
    <w:p w:rsidR="009478CA" w:rsidRDefault="009478CA" w:rsidP="009478CA">
      <w:pPr>
        <w:spacing w:after="0"/>
        <w:jc w:val="both"/>
        <w:rPr>
          <w:rFonts w:ascii="Arial Narrow" w:hAnsi="Arial Narrow"/>
          <w:sz w:val="24"/>
        </w:rPr>
      </w:pPr>
    </w:p>
    <w:p w:rsidR="009478CA" w:rsidRDefault="009478CA" w:rsidP="009478CA">
      <w:pPr>
        <w:spacing w:after="0"/>
        <w:jc w:val="both"/>
        <w:rPr>
          <w:rFonts w:ascii="Arial Narrow" w:hAnsi="Arial Narrow"/>
          <w:sz w:val="24"/>
        </w:rPr>
      </w:pPr>
    </w:p>
    <w:p w:rsidR="009478CA" w:rsidRDefault="009478CA" w:rsidP="009478CA">
      <w:pPr>
        <w:spacing w:after="0"/>
        <w:jc w:val="center"/>
        <w:rPr>
          <w:rFonts w:ascii="Arial Narrow" w:hAnsi="Arial Narrow"/>
          <w:sz w:val="24"/>
        </w:rPr>
      </w:pPr>
      <w:r>
        <w:rPr>
          <w:rFonts w:ascii="Arial Narrow" w:hAnsi="Arial Narrow"/>
          <w:sz w:val="24"/>
        </w:rPr>
        <w:t>V</w:t>
      </w:r>
      <w:r>
        <w:rPr>
          <w:rFonts w:ascii="Arial Narrow" w:hAnsi="Arial Narrow"/>
          <w:sz w:val="24"/>
          <w:vertAlign w:val="subscript"/>
        </w:rPr>
        <w:t>cox</w:t>
      </w:r>
      <w:r>
        <w:rPr>
          <w:rFonts w:ascii="Arial Narrow" w:hAnsi="Arial Narrow"/>
          <w:sz w:val="24"/>
        </w:rPr>
        <w:t>=V</w:t>
      </w:r>
      <w:r>
        <w:rPr>
          <w:rFonts w:ascii="Arial Narrow" w:hAnsi="Arial Narrow"/>
          <w:sz w:val="24"/>
          <w:vertAlign w:val="subscript"/>
        </w:rPr>
        <w:t xml:space="preserve">curi </w:t>
      </w:r>
      <w:r>
        <w:rPr>
          <w:rFonts w:ascii="Arial Narrow" w:hAnsi="Arial Narrow"/>
          <w:sz w:val="24"/>
        </w:rPr>
        <w:t xml:space="preserve"> * (P</w:t>
      </w:r>
      <w:r>
        <w:rPr>
          <w:rFonts w:ascii="Arial Narrow" w:hAnsi="Arial Narrow"/>
          <w:sz w:val="24"/>
          <w:vertAlign w:val="subscript"/>
        </w:rPr>
        <w:t>x</w:t>
      </w:r>
      <w:r>
        <w:rPr>
          <w:rFonts w:ascii="Arial Narrow" w:hAnsi="Arial Narrow"/>
          <w:sz w:val="24"/>
        </w:rPr>
        <w:t>/P</w:t>
      </w:r>
      <w:r>
        <w:rPr>
          <w:rFonts w:ascii="Arial Narrow" w:hAnsi="Arial Narrow"/>
          <w:sz w:val="24"/>
          <w:vertAlign w:val="subscript"/>
        </w:rPr>
        <w:t>i</w:t>
      </w:r>
      <w:r>
        <w:rPr>
          <w:rFonts w:ascii="Arial Narrow" w:hAnsi="Arial Narrow"/>
          <w:sz w:val="24"/>
        </w:rPr>
        <w:t>)</w:t>
      </w:r>
    </w:p>
    <w:p w:rsidR="009478CA" w:rsidRDefault="009478CA" w:rsidP="009478CA">
      <w:pPr>
        <w:jc w:val="both"/>
        <w:rPr>
          <w:rFonts w:ascii="Arial Narrow" w:hAnsi="Arial Narrow"/>
          <w:sz w:val="24"/>
        </w:rPr>
      </w:pPr>
      <w:r>
        <w:rPr>
          <w:rFonts w:ascii="Arial Narrow" w:hAnsi="Arial Narrow"/>
          <w:sz w:val="24"/>
        </w:rPr>
        <w:t>Where:-</w:t>
      </w:r>
    </w:p>
    <w:p w:rsidR="009478CA" w:rsidRDefault="009478CA" w:rsidP="009478CA">
      <w:pPr>
        <w:spacing w:after="0"/>
        <w:jc w:val="both"/>
        <w:rPr>
          <w:rFonts w:ascii="Arial Narrow" w:hAnsi="Arial Narrow"/>
          <w:sz w:val="24"/>
        </w:rPr>
      </w:pPr>
      <w:r>
        <w:rPr>
          <w:rFonts w:ascii="Arial Narrow" w:hAnsi="Arial Narrow"/>
          <w:sz w:val="24"/>
        </w:rPr>
        <w:t>V</w:t>
      </w:r>
      <w:r>
        <w:rPr>
          <w:rFonts w:ascii="Arial Narrow" w:hAnsi="Arial Narrow"/>
          <w:sz w:val="24"/>
          <w:vertAlign w:val="subscript"/>
        </w:rPr>
        <w:t>curi</w:t>
      </w:r>
      <w:r>
        <w:rPr>
          <w:rFonts w:ascii="Arial Narrow" w:hAnsi="Arial Narrow"/>
          <w:sz w:val="24"/>
        </w:rPr>
        <w:t xml:space="preserve"> = £500,000</w:t>
      </w:r>
    </w:p>
    <w:p w:rsidR="009478CA" w:rsidRDefault="009478CA" w:rsidP="009478CA">
      <w:pPr>
        <w:spacing w:after="0"/>
        <w:jc w:val="both"/>
        <w:rPr>
          <w:rFonts w:ascii="Arial Narrow" w:hAnsi="Arial Narrow"/>
          <w:sz w:val="24"/>
        </w:rPr>
      </w:pPr>
      <w:r>
        <w:rPr>
          <w:rFonts w:ascii="Arial Narrow" w:hAnsi="Arial Narrow"/>
          <w:sz w:val="24"/>
        </w:rPr>
        <w:t>P</w:t>
      </w:r>
      <w:r>
        <w:rPr>
          <w:rFonts w:ascii="Arial Narrow" w:hAnsi="Arial Narrow"/>
          <w:sz w:val="24"/>
          <w:vertAlign w:val="subscript"/>
        </w:rPr>
        <w:t>x</w:t>
      </w:r>
      <w:r>
        <w:rPr>
          <w:rFonts w:ascii="Arial Narrow" w:hAnsi="Arial Narrow"/>
          <w:sz w:val="24"/>
        </w:rPr>
        <w:t xml:space="preserve"> = 100</w:t>
      </w:r>
    </w:p>
    <w:p w:rsidR="009478CA" w:rsidRDefault="009478CA" w:rsidP="009478CA">
      <w:pPr>
        <w:spacing w:after="0"/>
        <w:jc w:val="both"/>
        <w:rPr>
          <w:rFonts w:ascii="Arial Narrow" w:hAnsi="Arial Narrow"/>
          <w:sz w:val="24"/>
        </w:rPr>
      </w:pPr>
      <w:r>
        <w:rPr>
          <w:rFonts w:ascii="Arial Narrow" w:hAnsi="Arial Narrow"/>
          <w:sz w:val="24"/>
        </w:rPr>
        <w:t>P</w:t>
      </w:r>
      <w:r>
        <w:rPr>
          <w:rFonts w:ascii="Arial Narrow" w:hAnsi="Arial Narrow"/>
          <w:sz w:val="24"/>
          <w:vertAlign w:val="subscript"/>
        </w:rPr>
        <w:t>i</w:t>
      </w:r>
      <w:r>
        <w:rPr>
          <w:rFonts w:ascii="Arial Narrow" w:hAnsi="Arial Narrow"/>
          <w:sz w:val="24"/>
        </w:rPr>
        <w:t xml:space="preserve"> = 90.982</w:t>
      </w:r>
    </w:p>
    <w:p w:rsidR="009478CA" w:rsidRDefault="009478CA" w:rsidP="009478CA">
      <w:pPr>
        <w:spacing w:after="0"/>
        <w:jc w:val="both"/>
        <w:rPr>
          <w:rFonts w:ascii="Arial Narrow" w:hAnsi="Arial Narrow"/>
          <w:sz w:val="24"/>
        </w:rPr>
      </w:pPr>
      <w:r>
        <w:rPr>
          <w:rFonts w:ascii="Arial Narrow" w:hAnsi="Arial Narrow"/>
          <w:sz w:val="24"/>
        </w:rPr>
        <w:t xml:space="preserve"> </w:t>
      </w:r>
    </w:p>
    <w:p w:rsidR="009478CA" w:rsidRDefault="00BD67CB" w:rsidP="009478CA">
      <w:pPr>
        <w:spacing w:after="0"/>
        <w:jc w:val="both"/>
        <w:rPr>
          <w:rFonts w:ascii="Arial Narrow" w:hAnsi="Arial Narrow"/>
          <w:sz w:val="24"/>
        </w:rPr>
      </w:pPr>
      <w:r>
        <w:rPr>
          <w:rFonts w:ascii="Arial Narrow" w:hAnsi="Arial Narrow"/>
          <w:sz w:val="24"/>
        </w:rPr>
        <w:t xml:space="preserve">Thus </w:t>
      </w:r>
      <w:r w:rsidR="009478CA">
        <w:rPr>
          <w:rFonts w:ascii="Arial Narrow" w:hAnsi="Arial Narrow"/>
          <w:sz w:val="24"/>
        </w:rPr>
        <w:t>V</w:t>
      </w:r>
      <w:r w:rsidR="009478CA">
        <w:rPr>
          <w:rFonts w:ascii="Arial Narrow" w:hAnsi="Arial Narrow"/>
          <w:sz w:val="24"/>
          <w:vertAlign w:val="subscript"/>
        </w:rPr>
        <w:t>cox</w:t>
      </w:r>
      <w:r w:rsidR="009478CA">
        <w:rPr>
          <w:rFonts w:ascii="Arial Narrow" w:hAnsi="Arial Narrow"/>
          <w:sz w:val="24"/>
        </w:rPr>
        <w:t xml:space="preserve"> the constant price value (V) of the impacts at year -4 (</w:t>
      </w:r>
      <w:r w:rsidR="009478CA">
        <w:rPr>
          <w:rFonts w:ascii="Arial Narrow" w:hAnsi="Arial Narrow"/>
          <w:sz w:val="24"/>
          <w:vertAlign w:val="subscript"/>
        </w:rPr>
        <w:t>i</w:t>
      </w:r>
      <w:r w:rsidR="009478CA">
        <w:rPr>
          <w:rFonts w:ascii="Arial Narrow" w:hAnsi="Arial Narrow"/>
          <w:sz w:val="24"/>
        </w:rPr>
        <w:t>)) is:-</w:t>
      </w:r>
    </w:p>
    <w:p w:rsidR="009478CA" w:rsidRDefault="009478CA" w:rsidP="009478CA">
      <w:pPr>
        <w:spacing w:after="0"/>
        <w:jc w:val="both"/>
        <w:rPr>
          <w:rFonts w:ascii="Arial Narrow" w:hAnsi="Arial Narrow"/>
          <w:sz w:val="24"/>
        </w:rPr>
      </w:pPr>
    </w:p>
    <w:p w:rsidR="009478CA" w:rsidRDefault="00BD67CB" w:rsidP="009478CA">
      <w:pPr>
        <w:jc w:val="center"/>
        <w:rPr>
          <w:rFonts w:ascii="Arial Narrow" w:hAnsi="Arial Narrow"/>
          <w:sz w:val="24"/>
        </w:rPr>
      </w:pPr>
      <w:r>
        <w:rPr>
          <w:rFonts w:ascii="Arial Narrow" w:hAnsi="Arial Narrow"/>
          <w:sz w:val="24"/>
        </w:rPr>
        <w:t xml:space="preserve">£500,000 </w:t>
      </w:r>
      <w:r w:rsidR="009478CA">
        <w:rPr>
          <w:rFonts w:ascii="Arial Narrow" w:hAnsi="Arial Narrow"/>
          <w:sz w:val="24"/>
        </w:rPr>
        <w:t>x (100/90.982) = £550,164</w:t>
      </w:r>
    </w:p>
    <w:p w:rsidR="009478CA" w:rsidRDefault="009478CA" w:rsidP="009478CA">
      <w:pPr>
        <w:spacing w:after="0"/>
        <w:jc w:val="both"/>
        <w:rPr>
          <w:rFonts w:ascii="Arial Narrow" w:hAnsi="Arial Narrow"/>
          <w:sz w:val="24"/>
        </w:rPr>
      </w:pPr>
      <w:r>
        <w:rPr>
          <w:rFonts w:ascii="Arial Narrow" w:hAnsi="Arial Narrow"/>
          <w:sz w:val="24"/>
        </w:rPr>
        <w:t>With all GVA values adjusted in the same way, the cumulative GVA total becomes £3.388 million, rather than the £3.25 million when expressed in current prices. Thus the effect of calculating the impacts in constant prices, taking account of past deflation, is to increase the cumulative GVA</w:t>
      </w:r>
      <w:r w:rsidR="00BD67CB">
        <w:rPr>
          <w:rFonts w:ascii="Arial Narrow" w:hAnsi="Arial Narrow"/>
          <w:sz w:val="24"/>
        </w:rPr>
        <w:t xml:space="preserve"> impact of the intervention.  </w:t>
      </w:r>
      <w:r>
        <w:rPr>
          <w:rFonts w:ascii="Arial Narrow" w:hAnsi="Arial Narrow"/>
          <w:sz w:val="24"/>
        </w:rPr>
        <w:t>This example demonstrates that, when there is price inflation, then:-</w:t>
      </w:r>
    </w:p>
    <w:p w:rsidR="009478CA" w:rsidRDefault="009478CA" w:rsidP="009478CA">
      <w:pPr>
        <w:spacing w:after="0"/>
        <w:jc w:val="both"/>
        <w:rPr>
          <w:rFonts w:ascii="Arial Narrow" w:hAnsi="Arial Narrow"/>
          <w:sz w:val="24"/>
        </w:rPr>
      </w:pPr>
    </w:p>
    <w:p w:rsidR="009478CA" w:rsidRDefault="009478CA" w:rsidP="009478CA">
      <w:pPr>
        <w:numPr>
          <w:ilvl w:val="0"/>
          <w:numId w:val="3"/>
        </w:numPr>
        <w:spacing w:after="0"/>
        <w:jc w:val="both"/>
        <w:rPr>
          <w:rFonts w:ascii="Arial Narrow" w:hAnsi="Arial Narrow"/>
          <w:sz w:val="24"/>
        </w:rPr>
      </w:pPr>
      <w:r>
        <w:rPr>
          <w:rFonts w:ascii="Arial Narrow" w:hAnsi="Arial Narrow"/>
          <w:sz w:val="24"/>
        </w:rPr>
        <w:t>Past current values increase when expressed in constant prices at a base year; and</w:t>
      </w:r>
    </w:p>
    <w:p w:rsidR="009478CA" w:rsidRDefault="009478CA" w:rsidP="009478CA">
      <w:pPr>
        <w:numPr>
          <w:ilvl w:val="0"/>
          <w:numId w:val="3"/>
        </w:numPr>
        <w:spacing w:after="0"/>
        <w:jc w:val="both"/>
        <w:rPr>
          <w:rFonts w:ascii="Arial Narrow" w:hAnsi="Arial Narrow"/>
          <w:sz w:val="24"/>
        </w:rPr>
      </w:pPr>
      <w:r>
        <w:rPr>
          <w:rFonts w:ascii="Arial Narrow" w:hAnsi="Arial Narrow"/>
          <w:sz w:val="24"/>
        </w:rPr>
        <w:t>Were future current prices to be expressed in constant prices, then they would decrease.</w:t>
      </w:r>
    </w:p>
    <w:p w:rsidR="009478CA" w:rsidRDefault="009478CA" w:rsidP="009478CA">
      <w:pPr>
        <w:spacing w:after="0"/>
        <w:ind w:left="418"/>
        <w:jc w:val="both"/>
        <w:rPr>
          <w:rFonts w:ascii="Arial Narrow" w:hAnsi="Arial Narrow"/>
          <w:b/>
          <w:sz w:val="24"/>
        </w:rPr>
      </w:pPr>
    </w:p>
    <w:p w:rsidR="00BD67CB" w:rsidRDefault="00BD67CB">
      <w:pPr>
        <w:rPr>
          <w:rFonts w:ascii="Arial Narrow" w:hAnsi="Arial Narrow"/>
          <w:b/>
          <w:sz w:val="24"/>
        </w:rPr>
      </w:pPr>
      <w:r>
        <w:rPr>
          <w:rFonts w:ascii="Arial Narrow" w:hAnsi="Arial Narrow"/>
          <w:b/>
          <w:sz w:val="24"/>
        </w:rPr>
        <w:br w:type="page"/>
      </w:r>
    </w:p>
    <w:p w:rsidR="009478CA" w:rsidRDefault="009478CA" w:rsidP="009478CA">
      <w:pPr>
        <w:spacing w:after="0"/>
        <w:jc w:val="both"/>
        <w:rPr>
          <w:rFonts w:ascii="Arial Narrow" w:hAnsi="Arial Narrow"/>
          <w:sz w:val="24"/>
        </w:rPr>
      </w:pPr>
      <w:r>
        <w:rPr>
          <w:rFonts w:ascii="Arial Narrow" w:hAnsi="Arial Narrow"/>
          <w:b/>
          <w:sz w:val="24"/>
        </w:rPr>
        <w:lastRenderedPageBreak/>
        <w:t>TABLE 1</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b/>
          <w:sz w:val="24"/>
          <w:u w:val="single"/>
        </w:rPr>
        <w:t>Current and Constant Price Impact of an Intervention</w:t>
      </w:r>
    </w:p>
    <w:tbl>
      <w:tblPr>
        <w:tblW w:w="937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3301"/>
        <w:gridCol w:w="894"/>
        <w:gridCol w:w="893"/>
        <w:gridCol w:w="893"/>
        <w:gridCol w:w="893"/>
        <w:gridCol w:w="893"/>
        <w:gridCol w:w="1608"/>
      </w:tblGrid>
      <w:tr w:rsidR="009478CA" w:rsidTr="009478CA">
        <w:tc>
          <w:tcPr>
            <w:tcW w:w="3298" w:type="dxa"/>
            <w:vMerge w:val="restart"/>
            <w:tcBorders>
              <w:top w:val="single" w:sz="8" w:space="0" w:color="7BA0CD"/>
              <w:left w:val="single" w:sz="8" w:space="0" w:color="7BA0CD"/>
              <w:bottom w:val="single" w:sz="8" w:space="0" w:color="7BA0CD"/>
              <w:right w:val="nil"/>
            </w:tcBorders>
            <w:shd w:val="clear" w:color="auto" w:fill="4F81BD"/>
          </w:tcPr>
          <w:p w:rsidR="009478CA" w:rsidRDefault="009478CA">
            <w:pPr>
              <w:spacing w:after="0" w:line="240" w:lineRule="auto"/>
              <w:jc w:val="both"/>
              <w:rPr>
                <w:rFonts w:ascii="Arial Narrow" w:hAnsi="Arial Narrow"/>
                <w:b/>
                <w:bCs/>
                <w:color w:val="FFFFFF"/>
                <w:sz w:val="24"/>
              </w:rPr>
            </w:pPr>
          </w:p>
          <w:p w:rsidR="009478CA" w:rsidRDefault="009478CA">
            <w:pPr>
              <w:spacing w:after="0" w:line="240" w:lineRule="auto"/>
              <w:jc w:val="both"/>
              <w:rPr>
                <w:rFonts w:ascii="Arial Narrow" w:hAnsi="Arial Narrow"/>
                <w:b/>
                <w:bCs/>
                <w:color w:val="FFFFFF"/>
                <w:sz w:val="24"/>
              </w:rPr>
            </w:pPr>
          </w:p>
        </w:tc>
        <w:tc>
          <w:tcPr>
            <w:tcW w:w="6072" w:type="dxa"/>
            <w:gridSpan w:val="6"/>
            <w:tcBorders>
              <w:top w:val="single" w:sz="8" w:space="0" w:color="7BA0CD"/>
              <w:left w:val="nil"/>
              <w:bottom w:val="single" w:sz="8" w:space="0" w:color="7BA0CD"/>
              <w:right w:val="single" w:sz="8" w:space="0" w:color="7BA0CD"/>
            </w:tcBorders>
            <w:shd w:val="clear" w:color="auto" w:fill="4F81BD"/>
            <w:hideMark/>
          </w:tcPr>
          <w:p w:rsidR="009478CA" w:rsidRDefault="009478CA">
            <w:pPr>
              <w:spacing w:after="0" w:line="240" w:lineRule="auto"/>
              <w:jc w:val="center"/>
              <w:rPr>
                <w:rFonts w:ascii="Arial Narrow" w:hAnsi="Arial Narrow"/>
                <w:b/>
                <w:bCs/>
                <w:color w:val="FFFFFF"/>
                <w:sz w:val="24"/>
              </w:rPr>
            </w:pPr>
            <w:r>
              <w:rPr>
                <w:rFonts w:ascii="Arial Narrow" w:hAnsi="Arial Narrow"/>
                <w:b/>
                <w:bCs/>
                <w:color w:val="FFFFFF"/>
                <w:sz w:val="24"/>
              </w:rPr>
              <w:t>Year</w:t>
            </w:r>
          </w:p>
        </w:tc>
      </w:tr>
      <w:tr w:rsidR="009478CA" w:rsidTr="009478CA">
        <w:tc>
          <w:tcPr>
            <w:tcW w:w="3298" w:type="dxa"/>
            <w:vMerge/>
            <w:tcBorders>
              <w:top w:val="single" w:sz="8" w:space="0" w:color="7BA0CD"/>
              <w:left w:val="single" w:sz="8" w:space="0" w:color="7BA0CD"/>
              <w:bottom w:val="single" w:sz="8" w:space="0" w:color="7BA0CD"/>
              <w:right w:val="nil"/>
            </w:tcBorders>
            <w:vAlign w:val="center"/>
            <w:hideMark/>
          </w:tcPr>
          <w:p w:rsidR="009478CA" w:rsidRDefault="009478CA">
            <w:pPr>
              <w:spacing w:after="0" w:line="240" w:lineRule="auto"/>
              <w:rPr>
                <w:rFonts w:ascii="Arial Narrow" w:hAnsi="Arial Narrow"/>
                <w:b/>
                <w:bCs/>
                <w:color w:val="FFFFFF"/>
                <w:sz w:val="24"/>
              </w:rPr>
            </w:pP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b/>
                <w:sz w:val="24"/>
              </w:rPr>
            </w:pPr>
            <w:r>
              <w:rPr>
                <w:rFonts w:ascii="Arial Narrow" w:hAnsi="Arial Narrow"/>
                <w:b/>
                <w:sz w:val="24"/>
              </w:rPr>
              <w:t>-4</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b/>
                <w:sz w:val="24"/>
              </w:rPr>
            </w:pPr>
            <w:r>
              <w:rPr>
                <w:rFonts w:ascii="Arial Narrow" w:hAnsi="Arial Narrow"/>
                <w:b/>
                <w:sz w:val="24"/>
              </w:rPr>
              <w:t>-3</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b/>
                <w:sz w:val="24"/>
              </w:rPr>
            </w:pPr>
            <w:r>
              <w:rPr>
                <w:rFonts w:ascii="Arial Narrow" w:hAnsi="Arial Narrow"/>
                <w:b/>
                <w:sz w:val="24"/>
              </w:rPr>
              <w:t>-2</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b/>
                <w:sz w:val="24"/>
              </w:rPr>
            </w:pPr>
            <w:r>
              <w:rPr>
                <w:rFonts w:ascii="Arial Narrow" w:hAnsi="Arial Narrow"/>
                <w:b/>
                <w:sz w:val="24"/>
              </w:rPr>
              <w:t>-1</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sz w:val="24"/>
              </w:rPr>
            </w:pPr>
            <w:r>
              <w:rPr>
                <w:rFonts w:ascii="Arial Narrow" w:hAnsi="Arial Narrow"/>
                <w:b/>
                <w:sz w:val="24"/>
              </w:rPr>
              <w:t>0</w:t>
            </w:r>
          </w:p>
        </w:tc>
        <w:tc>
          <w:tcPr>
            <w:tcW w:w="1607" w:type="dxa"/>
            <w:tcBorders>
              <w:top w:val="single" w:sz="8" w:space="0" w:color="7BA0CD"/>
              <w:left w:val="nil"/>
              <w:bottom w:val="single" w:sz="8" w:space="0" w:color="7BA0CD"/>
              <w:right w:val="single" w:sz="8" w:space="0" w:color="7BA0CD"/>
            </w:tcBorders>
            <w:shd w:val="clear" w:color="auto" w:fill="D3DFEE"/>
            <w:hideMark/>
          </w:tcPr>
          <w:p w:rsidR="009478CA" w:rsidRDefault="009478CA">
            <w:pPr>
              <w:spacing w:after="0" w:line="240" w:lineRule="auto"/>
              <w:jc w:val="both"/>
              <w:rPr>
                <w:rFonts w:ascii="Arial Narrow" w:hAnsi="Arial Narrow"/>
                <w:b/>
                <w:sz w:val="24"/>
              </w:rPr>
            </w:pPr>
            <w:r>
              <w:rPr>
                <w:rFonts w:ascii="Arial Narrow" w:hAnsi="Arial Narrow"/>
                <w:b/>
                <w:sz w:val="24"/>
              </w:rPr>
              <w:t>Cumulative GVA</w:t>
            </w:r>
          </w:p>
        </w:tc>
      </w:tr>
      <w:tr w:rsidR="009478CA" w:rsidTr="009478CA">
        <w:tc>
          <w:tcPr>
            <w:tcW w:w="3298" w:type="dxa"/>
            <w:tcBorders>
              <w:top w:val="single" w:sz="8" w:space="0" w:color="7BA0CD"/>
              <w:left w:val="single" w:sz="8" w:space="0" w:color="7BA0CD"/>
              <w:bottom w:val="single" w:sz="8" w:space="0" w:color="7BA0CD"/>
              <w:right w:val="nil"/>
            </w:tcBorders>
            <w:hideMark/>
          </w:tcPr>
          <w:p w:rsidR="009478CA" w:rsidRDefault="009478CA">
            <w:pPr>
              <w:spacing w:after="0" w:line="240" w:lineRule="auto"/>
              <w:jc w:val="both"/>
              <w:rPr>
                <w:rFonts w:ascii="Arial Narrow" w:hAnsi="Arial Narrow"/>
                <w:b/>
                <w:bCs/>
                <w:szCs w:val="20"/>
              </w:rPr>
            </w:pPr>
            <w:r>
              <w:rPr>
                <w:rFonts w:ascii="Arial Narrow" w:hAnsi="Arial Narrow"/>
                <w:b/>
                <w:bCs/>
                <w:szCs w:val="20"/>
              </w:rPr>
              <w:t xml:space="preserve">GVA </w:t>
            </w:r>
            <w:r>
              <w:rPr>
                <w:rFonts w:ascii="Arial Narrow" w:hAnsi="Arial Narrow"/>
                <w:b/>
                <w:bCs/>
                <w:sz w:val="16"/>
                <w:szCs w:val="16"/>
              </w:rPr>
              <w:t>(current prices (£000))</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500</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550</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650</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700</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850</w:t>
            </w:r>
          </w:p>
        </w:tc>
        <w:tc>
          <w:tcPr>
            <w:tcW w:w="1607" w:type="dxa"/>
            <w:tcBorders>
              <w:top w:val="single" w:sz="8" w:space="0" w:color="7BA0CD"/>
              <w:left w:val="nil"/>
              <w:bottom w:val="single" w:sz="8" w:space="0" w:color="7BA0CD"/>
              <w:right w:val="single" w:sz="8" w:space="0" w:color="7BA0CD"/>
            </w:tcBorders>
            <w:hideMark/>
          </w:tcPr>
          <w:p w:rsidR="009478CA" w:rsidRDefault="009478CA">
            <w:pPr>
              <w:spacing w:after="0" w:line="240" w:lineRule="auto"/>
              <w:jc w:val="both"/>
              <w:rPr>
                <w:rFonts w:ascii="Arial Narrow" w:hAnsi="Arial Narrow"/>
                <w:szCs w:val="20"/>
              </w:rPr>
            </w:pPr>
            <w:r>
              <w:rPr>
                <w:rFonts w:ascii="Arial Narrow" w:hAnsi="Arial Narrow"/>
                <w:szCs w:val="20"/>
              </w:rPr>
              <w:t>3,250</w:t>
            </w:r>
          </w:p>
        </w:tc>
      </w:tr>
      <w:tr w:rsidR="009478CA" w:rsidTr="009478CA">
        <w:tc>
          <w:tcPr>
            <w:tcW w:w="3298" w:type="dxa"/>
            <w:tcBorders>
              <w:top w:val="single" w:sz="8" w:space="0" w:color="7BA0CD"/>
              <w:left w:val="single" w:sz="8" w:space="0" w:color="7BA0CD"/>
              <w:bottom w:val="single" w:sz="8" w:space="0" w:color="7BA0CD"/>
              <w:right w:val="nil"/>
            </w:tcBorders>
            <w:shd w:val="clear" w:color="auto" w:fill="D3DFEE"/>
            <w:hideMark/>
          </w:tcPr>
          <w:p w:rsidR="009478CA" w:rsidRDefault="009478CA">
            <w:pPr>
              <w:spacing w:after="0" w:line="240" w:lineRule="auto"/>
              <w:jc w:val="both"/>
              <w:rPr>
                <w:rFonts w:ascii="Arial Narrow" w:hAnsi="Arial Narrow"/>
                <w:b/>
                <w:bCs/>
                <w:szCs w:val="20"/>
              </w:rPr>
            </w:pPr>
            <w:r>
              <w:rPr>
                <w:rFonts w:ascii="Arial Narrow" w:hAnsi="Arial Narrow"/>
                <w:b/>
                <w:bCs/>
                <w:szCs w:val="20"/>
              </w:rPr>
              <w:t>Price index</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szCs w:val="20"/>
              </w:rPr>
            </w:pPr>
            <w:r>
              <w:rPr>
                <w:rFonts w:ascii="Arial Narrow" w:hAnsi="Arial Narrow"/>
                <w:szCs w:val="20"/>
              </w:rPr>
              <w:t>90.982</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szCs w:val="20"/>
              </w:rPr>
            </w:pPr>
            <w:r>
              <w:rPr>
                <w:rFonts w:ascii="Arial Narrow" w:hAnsi="Arial Narrow"/>
                <w:szCs w:val="20"/>
              </w:rPr>
              <w:t>93.745</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szCs w:val="20"/>
              </w:rPr>
            </w:pPr>
            <w:r>
              <w:rPr>
                <w:rFonts w:ascii="Arial Narrow" w:hAnsi="Arial Narrow"/>
                <w:szCs w:val="20"/>
              </w:rPr>
              <w:t>94.979</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szCs w:val="20"/>
              </w:rPr>
            </w:pPr>
            <w:r>
              <w:rPr>
                <w:rFonts w:ascii="Arial Narrow" w:hAnsi="Arial Narrow"/>
                <w:szCs w:val="20"/>
              </w:rPr>
              <w:t>97.606</w:t>
            </w:r>
          </w:p>
        </w:tc>
        <w:tc>
          <w:tcPr>
            <w:tcW w:w="893" w:type="dxa"/>
            <w:tcBorders>
              <w:top w:val="single" w:sz="8" w:space="0" w:color="7BA0CD"/>
              <w:left w:val="nil"/>
              <w:bottom w:val="single" w:sz="8" w:space="0" w:color="7BA0CD"/>
              <w:right w:val="nil"/>
            </w:tcBorders>
            <w:shd w:val="clear" w:color="auto" w:fill="D3DFEE"/>
            <w:hideMark/>
          </w:tcPr>
          <w:p w:rsidR="009478CA" w:rsidRDefault="009478CA">
            <w:pPr>
              <w:spacing w:after="0" w:line="240" w:lineRule="auto"/>
              <w:jc w:val="both"/>
              <w:rPr>
                <w:rFonts w:ascii="Arial Narrow" w:hAnsi="Arial Narrow"/>
                <w:szCs w:val="20"/>
              </w:rPr>
            </w:pPr>
            <w:r>
              <w:rPr>
                <w:rFonts w:ascii="Arial Narrow" w:hAnsi="Arial Narrow"/>
                <w:szCs w:val="20"/>
              </w:rPr>
              <w:t>100.00</w:t>
            </w:r>
          </w:p>
        </w:tc>
        <w:tc>
          <w:tcPr>
            <w:tcW w:w="1607" w:type="dxa"/>
            <w:tcBorders>
              <w:top w:val="single" w:sz="8" w:space="0" w:color="7BA0CD"/>
              <w:left w:val="nil"/>
              <w:bottom w:val="single" w:sz="8" w:space="0" w:color="7BA0CD"/>
              <w:right w:val="single" w:sz="8" w:space="0" w:color="7BA0CD"/>
            </w:tcBorders>
            <w:shd w:val="clear" w:color="auto" w:fill="D3DFEE"/>
            <w:hideMark/>
          </w:tcPr>
          <w:p w:rsidR="009478CA" w:rsidRDefault="009478CA">
            <w:pPr>
              <w:spacing w:after="0" w:line="240" w:lineRule="auto"/>
              <w:jc w:val="both"/>
              <w:rPr>
                <w:rFonts w:ascii="Arial Narrow" w:hAnsi="Arial Narrow"/>
                <w:szCs w:val="20"/>
              </w:rPr>
            </w:pPr>
            <w:r>
              <w:rPr>
                <w:rFonts w:ascii="Arial Narrow" w:hAnsi="Arial Narrow"/>
                <w:szCs w:val="20"/>
              </w:rPr>
              <w:t>-</w:t>
            </w:r>
          </w:p>
        </w:tc>
      </w:tr>
      <w:tr w:rsidR="009478CA" w:rsidTr="009478CA">
        <w:tc>
          <w:tcPr>
            <w:tcW w:w="3298" w:type="dxa"/>
            <w:tcBorders>
              <w:top w:val="single" w:sz="8" w:space="0" w:color="7BA0CD"/>
              <w:left w:val="single" w:sz="8" w:space="0" w:color="7BA0CD"/>
              <w:bottom w:val="single" w:sz="8" w:space="0" w:color="7BA0CD"/>
              <w:right w:val="nil"/>
            </w:tcBorders>
            <w:hideMark/>
          </w:tcPr>
          <w:p w:rsidR="009478CA" w:rsidRDefault="009478CA">
            <w:pPr>
              <w:spacing w:after="0" w:line="240" w:lineRule="auto"/>
              <w:jc w:val="both"/>
              <w:rPr>
                <w:rFonts w:ascii="Arial Narrow" w:hAnsi="Arial Narrow"/>
                <w:b/>
                <w:bCs/>
                <w:szCs w:val="20"/>
              </w:rPr>
            </w:pPr>
            <w:r>
              <w:rPr>
                <w:rFonts w:ascii="Arial Narrow" w:hAnsi="Arial Narrow"/>
                <w:b/>
                <w:bCs/>
                <w:szCs w:val="20"/>
              </w:rPr>
              <w:t xml:space="preserve">GVA  </w:t>
            </w:r>
            <w:r>
              <w:rPr>
                <w:rFonts w:ascii="Arial Narrow" w:hAnsi="Arial Narrow"/>
                <w:b/>
                <w:bCs/>
                <w:sz w:val="16"/>
                <w:szCs w:val="16"/>
              </w:rPr>
              <w:t>(constant prices (year 0) (£000)</w:t>
            </w:r>
            <w:r>
              <w:rPr>
                <w:rFonts w:ascii="Arial Narrow" w:hAnsi="Arial Narrow"/>
                <w:b/>
                <w:bCs/>
                <w:szCs w:val="20"/>
              </w:rPr>
              <w:t xml:space="preserve"> </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550</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587</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684</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717548</w:t>
            </w:r>
          </w:p>
        </w:tc>
        <w:tc>
          <w:tcPr>
            <w:tcW w:w="893" w:type="dxa"/>
            <w:tcBorders>
              <w:top w:val="single" w:sz="8" w:space="0" w:color="7BA0CD"/>
              <w:left w:val="nil"/>
              <w:bottom w:val="single" w:sz="8" w:space="0" w:color="7BA0CD"/>
              <w:right w:val="nil"/>
            </w:tcBorders>
            <w:hideMark/>
          </w:tcPr>
          <w:p w:rsidR="009478CA" w:rsidRDefault="009478CA">
            <w:pPr>
              <w:spacing w:after="0" w:line="240" w:lineRule="auto"/>
              <w:jc w:val="both"/>
              <w:rPr>
                <w:rFonts w:ascii="Arial Narrow" w:hAnsi="Arial Narrow"/>
                <w:szCs w:val="20"/>
              </w:rPr>
            </w:pPr>
            <w:r>
              <w:rPr>
                <w:rFonts w:ascii="Arial Narrow" w:hAnsi="Arial Narrow"/>
                <w:szCs w:val="20"/>
              </w:rPr>
              <w:t>850</w:t>
            </w:r>
          </w:p>
        </w:tc>
        <w:tc>
          <w:tcPr>
            <w:tcW w:w="1607" w:type="dxa"/>
            <w:tcBorders>
              <w:top w:val="single" w:sz="8" w:space="0" w:color="7BA0CD"/>
              <w:left w:val="nil"/>
              <w:bottom w:val="single" w:sz="8" w:space="0" w:color="7BA0CD"/>
              <w:right w:val="single" w:sz="8" w:space="0" w:color="7BA0CD"/>
            </w:tcBorders>
            <w:hideMark/>
          </w:tcPr>
          <w:p w:rsidR="009478CA" w:rsidRDefault="009478CA">
            <w:pPr>
              <w:spacing w:after="0" w:line="240" w:lineRule="auto"/>
              <w:jc w:val="both"/>
              <w:rPr>
                <w:rFonts w:ascii="Arial Narrow" w:hAnsi="Arial Narrow"/>
                <w:szCs w:val="20"/>
              </w:rPr>
            </w:pPr>
            <w:r>
              <w:rPr>
                <w:rFonts w:ascii="Arial Narrow" w:hAnsi="Arial Narrow"/>
                <w:szCs w:val="20"/>
              </w:rPr>
              <w:t>3.388</w:t>
            </w:r>
          </w:p>
        </w:tc>
      </w:tr>
    </w:tbl>
    <w:p w:rsidR="009478CA" w:rsidRDefault="009478CA" w:rsidP="009478CA">
      <w:pPr>
        <w:spacing w:after="0"/>
        <w:jc w:val="both"/>
        <w:rPr>
          <w:rFonts w:ascii="Arial Narrow" w:hAnsi="Arial Narrow"/>
          <w:sz w:val="24"/>
        </w:rPr>
      </w:pPr>
    </w:p>
    <w:p w:rsidR="009478CA" w:rsidRDefault="009478CA" w:rsidP="009478CA">
      <w:pPr>
        <w:jc w:val="both"/>
        <w:rPr>
          <w:rFonts w:ascii="Arial Narrow" w:hAnsi="Arial Narrow"/>
          <w:b/>
          <w:sz w:val="28"/>
          <w:szCs w:val="28"/>
        </w:rPr>
      </w:pPr>
      <w:r>
        <w:rPr>
          <w:rFonts w:ascii="Arial Narrow" w:hAnsi="Arial Narrow"/>
          <w:b/>
          <w:sz w:val="32"/>
          <w:szCs w:val="28"/>
        </w:rPr>
        <w:t>A</w:t>
      </w:r>
      <w:r>
        <w:rPr>
          <w:rFonts w:ascii="Arial Narrow" w:hAnsi="Arial Narrow"/>
          <w:b/>
          <w:sz w:val="28"/>
          <w:szCs w:val="28"/>
        </w:rPr>
        <w:t>pplying Constant Pricing and Discount Rates</w:t>
      </w:r>
    </w:p>
    <w:p w:rsidR="009478CA" w:rsidRDefault="009478CA" w:rsidP="009478CA">
      <w:pPr>
        <w:jc w:val="both"/>
        <w:rPr>
          <w:rFonts w:ascii="Arial Narrow" w:hAnsi="Arial Narrow"/>
          <w:b/>
          <w:sz w:val="32"/>
          <w:szCs w:val="28"/>
        </w:rPr>
      </w:pPr>
      <w:r>
        <w:rPr>
          <w:rFonts w:ascii="Arial Narrow" w:hAnsi="Arial Narrow"/>
          <w:sz w:val="24"/>
        </w:rPr>
        <w:t>When impact values are discounted to a base year to account for social time preference, this is done after adjusting for constant prices.</w:t>
      </w:r>
    </w:p>
    <w:p w:rsidR="009478CA" w:rsidRPr="00BD67CB" w:rsidRDefault="009478CA" w:rsidP="009478CA">
      <w:pPr>
        <w:jc w:val="both"/>
        <w:rPr>
          <w:rFonts w:ascii="Arial Narrow" w:hAnsi="Arial Narrow"/>
          <w:b/>
          <w:sz w:val="28"/>
          <w:szCs w:val="28"/>
        </w:rPr>
      </w:pPr>
      <w:r w:rsidRPr="00BD67CB">
        <w:rPr>
          <w:rFonts w:ascii="Arial Narrow" w:hAnsi="Arial Narrow"/>
          <w:b/>
          <w:sz w:val="28"/>
          <w:szCs w:val="28"/>
        </w:rPr>
        <w:t>A Worked Example</w:t>
      </w:r>
    </w:p>
    <w:p w:rsidR="009478CA" w:rsidRDefault="009478CA" w:rsidP="009478CA">
      <w:pPr>
        <w:jc w:val="both"/>
        <w:rPr>
          <w:rFonts w:ascii="Arial Narrow" w:hAnsi="Arial Narrow"/>
          <w:sz w:val="24"/>
        </w:rPr>
      </w:pPr>
      <w:r>
        <w:rPr>
          <w:rFonts w:ascii="Arial Narrow" w:hAnsi="Arial Narrow"/>
          <w:sz w:val="24"/>
        </w:rPr>
        <w:t>It is assumed that the example used above (Table 1) was based upon the evaluation of a company support programme which looked at impacts over a 5 year period. Table 2 models these in more detail. It can be seen that the programme started in year -5, spending £0.300 million, with a further £0.1 million being spent in years -4 and -3. As part of the evaluation the companies in the programme have been asked to estimate the impacts of the intervention over the next 5 years. This data will then be used in SE’s impact model.</w:t>
      </w:r>
    </w:p>
    <w:p w:rsidR="009478CA" w:rsidRDefault="009478CA" w:rsidP="009478CA">
      <w:pPr>
        <w:jc w:val="both"/>
        <w:rPr>
          <w:rFonts w:ascii="Arial Narrow" w:hAnsi="Arial Narrow"/>
          <w:sz w:val="24"/>
        </w:rPr>
      </w:pPr>
      <w:r>
        <w:rPr>
          <w:rFonts w:ascii="Arial Narrow" w:hAnsi="Arial Narrow"/>
          <w:sz w:val="24"/>
        </w:rPr>
        <w:t>Table 2 looks at the metrics and the calculations that have been undertaken in a number of stages:-</w:t>
      </w:r>
    </w:p>
    <w:p w:rsidR="009478CA" w:rsidRDefault="009478CA" w:rsidP="009478CA">
      <w:pPr>
        <w:numPr>
          <w:ilvl w:val="0"/>
          <w:numId w:val="4"/>
        </w:numPr>
        <w:jc w:val="both"/>
        <w:rPr>
          <w:rFonts w:ascii="Arial Narrow" w:hAnsi="Arial Narrow"/>
          <w:sz w:val="24"/>
        </w:rPr>
      </w:pPr>
      <w:r>
        <w:rPr>
          <w:rFonts w:ascii="Arial Narrow" w:hAnsi="Arial Narrow"/>
          <w:sz w:val="24"/>
        </w:rPr>
        <w:t>The first stage is to rebase the GVA and cost data to constant prices in year 0 (now year 5 of the impact appraisal)</w:t>
      </w:r>
      <w:r>
        <w:rPr>
          <w:rStyle w:val="FootnoteReference"/>
          <w:rFonts w:ascii="Arial Narrow" w:hAnsi="Arial Narrow"/>
          <w:sz w:val="24"/>
        </w:rPr>
        <w:footnoteReference w:id="3"/>
      </w:r>
      <w:r>
        <w:rPr>
          <w:rFonts w:ascii="Arial Narrow" w:hAnsi="Arial Narrow"/>
          <w:sz w:val="24"/>
        </w:rPr>
        <w:t>.  Notice that all past prices have been adjusted but that future GVA estimates are not adjusted. The impact, as can be seen, is to increase both the past impacts and the costs; and</w:t>
      </w:r>
    </w:p>
    <w:p w:rsidR="009478CA" w:rsidRDefault="009478CA" w:rsidP="009478CA">
      <w:pPr>
        <w:numPr>
          <w:ilvl w:val="0"/>
          <w:numId w:val="4"/>
        </w:numPr>
        <w:jc w:val="both"/>
        <w:rPr>
          <w:rFonts w:ascii="Arial Narrow" w:hAnsi="Arial Narrow"/>
          <w:sz w:val="24"/>
        </w:rPr>
      </w:pPr>
      <w:r>
        <w:rPr>
          <w:rFonts w:ascii="Arial Narrow" w:hAnsi="Arial Narrow"/>
          <w:sz w:val="24"/>
        </w:rPr>
        <w:t>These constant costs and GVA values have then been discounted back to year 0 of the appraisal period when the first project costs were incurred.</w:t>
      </w:r>
    </w:p>
    <w:p w:rsidR="009478CA" w:rsidRDefault="009478CA" w:rsidP="009478CA">
      <w:pPr>
        <w:jc w:val="both"/>
        <w:rPr>
          <w:rFonts w:ascii="Arial Narrow" w:hAnsi="Arial Narrow"/>
          <w:b/>
          <w:sz w:val="24"/>
        </w:rPr>
      </w:pPr>
      <w:r>
        <w:rPr>
          <w:rFonts w:ascii="Arial Narrow" w:hAnsi="Arial Narrow"/>
          <w:b/>
          <w:sz w:val="24"/>
        </w:rPr>
        <w:t>TABLE 2</w:t>
      </w:r>
      <w:r>
        <w:rPr>
          <w:rFonts w:ascii="Arial Narrow" w:hAnsi="Arial Narrow"/>
          <w:b/>
          <w:sz w:val="24"/>
        </w:rPr>
        <w:tab/>
      </w:r>
      <w:r>
        <w:rPr>
          <w:rFonts w:ascii="Arial Narrow" w:hAnsi="Arial Narrow"/>
          <w:b/>
          <w:sz w:val="24"/>
        </w:rPr>
        <w:tab/>
      </w:r>
      <w:r>
        <w:rPr>
          <w:rFonts w:ascii="Arial Narrow" w:hAnsi="Arial Narrow"/>
          <w:b/>
          <w:sz w:val="24"/>
          <w:u w:val="single"/>
        </w:rPr>
        <w:t>Constant Price and Discounting Calculations (£000)</w:t>
      </w:r>
    </w:p>
    <w:p w:rsidR="009478CA" w:rsidRDefault="009478CA" w:rsidP="009478CA">
      <w:pPr>
        <w:jc w:val="both"/>
        <w:rPr>
          <w:rFonts w:ascii="Arial Narrow" w:hAnsi="Arial Narrow"/>
          <w:b/>
          <w:sz w:val="24"/>
        </w:rPr>
      </w:pPr>
      <w:r>
        <w:rPr>
          <w:rFonts w:ascii="Arial Narrow" w:hAnsi="Arial Narrow"/>
          <w:noProof/>
          <w:lang w:eastAsia="en-GB"/>
        </w:rPr>
        <w:drawing>
          <wp:inline distT="0" distB="0" distL="0" distR="0">
            <wp:extent cx="5486400" cy="981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981075"/>
                    </a:xfrm>
                    <a:prstGeom prst="rect">
                      <a:avLst/>
                    </a:prstGeom>
                    <a:noFill/>
                    <a:ln w="9525">
                      <a:noFill/>
                      <a:miter lim="800000"/>
                      <a:headEnd/>
                      <a:tailEnd/>
                    </a:ln>
                  </pic:spPr>
                </pic:pic>
              </a:graphicData>
            </a:graphic>
          </wp:inline>
        </w:drawing>
      </w:r>
    </w:p>
    <w:p w:rsidR="009478CA" w:rsidRDefault="009478CA" w:rsidP="009478CA">
      <w:pPr>
        <w:jc w:val="both"/>
        <w:rPr>
          <w:rFonts w:ascii="Arial Narrow" w:hAnsi="Arial Narrow"/>
          <w:sz w:val="24"/>
        </w:rPr>
      </w:pPr>
      <w:r>
        <w:rPr>
          <w:rFonts w:ascii="Arial Narrow" w:hAnsi="Arial Narrow"/>
          <w:sz w:val="24"/>
        </w:rPr>
        <w:t>This shows how constant pricing and discounting adjustments would be performed in the same EIA.  In the GVA assessment, the order of calculation would be:-</w:t>
      </w:r>
    </w:p>
    <w:p w:rsidR="009478CA" w:rsidRDefault="009478CA" w:rsidP="009478CA">
      <w:pPr>
        <w:numPr>
          <w:ilvl w:val="0"/>
          <w:numId w:val="5"/>
        </w:numPr>
        <w:jc w:val="both"/>
        <w:rPr>
          <w:rFonts w:ascii="Arial Narrow" w:hAnsi="Arial Narrow"/>
          <w:sz w:val="24"/>
        </w:rPr>
      </w:pPr>
      <w:r>
        <w:rPr>
          <w:rFonts w:ascii="Arial Narrow" w:hAnsi="Arial Narrow"/>
          <w:sz w:val="24"/>
        </w:rPr>
        <w:t>Adjust gross GVA to constant prices;</w:t>
      </w:r>
    </w:p>
    <w:p w:rsidR="009478CA" w:rsidRDefault="009478CA" w:rsidP="009478CA">
      <w:pPr>
        <w:numPr>
          <w:ilvl w:val="0"/>
          <w:numId w:val="5"/>
        </w:numPr>
        <w:jc w:val="both"/>
        <w:rPr>
          <w:rFonts w:ascii="Arial Narrow" w:hAnsi="Arial Narrow"/>
          <w:sz w:val="24"/>
        </w:rPr>
      </w:pPr>
      <w:r>
        <w:rPr>
          <w:rFonts w:ascii="Arial Narrow" w:hAnsi="Arial Narrow"/>
          <w:sz w:val="24"/>
        </w:rPr>
        <w:lastRenderedPageBreak/>
        <w:t>Apply gross to net effects, that is the additionality adjustments</w:t>
      </w:r>
      <w:r w:rsidR="0003597B">
        <w:rPr>
          <w:rFonts w:ascii="Arial Narrow" w:hAnsi="Arial Narrow"/>
          <w:sz w:val="24"/>
        </w:rPr>
        <w:t xml:space="preserve"> </w:t>
      </w:r>
      <w:r>
        <w:rPr>
          <w:rFonts w:ascii="Arial Narrow" w:hAnsi="Arial Narrow"/>
          <w:sz w:val="24"/>
        </w:rPr>
        <w:t xml:space="preserve">(this has not been done in the above example); </w:t>
      </w:r>
    </w:p>
    <w:p w:rsidR="009478CA" w:rsidRDefault="009478CA" w:rsidP="009478CA">
      <w:pPr>
        <w:numPr>
          <w:ilvl w:val="0"/>
          <w:numId w:val="5"/>
        </w:numPr>
        <w:jc w:val="both"/>
        <w:rPr>
          <w:rFonts w:ascii="Arial Narrow" w:hAnsi="Arial Narrow"/>
          <w:sz w:val="24"/>
        </w:rPr>
      </w:pPr>
      <w:r>
        <w:rPr>
          <w:rFonts w:ascii="Arial Narrow" w:hAnsi="Arial Narrow"/>
          <w:sz w:val="24"/>
        </w:rPr>
        <w:t>Then apply the discount rate to get net PV GVA at co</w:t>
      </w:r>
      <w:r w:rsidR="0003597B">
        <w:rPr>
          <w:rFonts w:ascii="Arial Narrow" w:hAnsi="Arial Narrow"/>
          <w:sz w:val="24"/>
        </w:rPr>
        <w:t xml:space="preserve">nstant prices; </w:t>
      </w:r>
      <w:r>
        <w:rPr>
          <w:rFonts w:ascii="Arial Narrow" w:hAnsi="Arial Narrow"/>
          <w:sz w:val="24"/>
        </w:rPr>
        <w:t>and</w:t>
      </w:r>
    </w:p>
    <w:p w:rsidR="009478CA" w:rsidRDefault="009478CA" w:rsidP="009478CA">
      <w:pPr>
        <w:numPr>
          <w:ilvl w:val="0"/>
          <w:numId w:val="5"/>
        </w:numPr>
        <w:jc w:val="both"/>
        <w:rPr>
          <w:rFonts w:ascii="Arial Narrow" w:hAnsi="Arial Narrow"/>
          <w:sz w:val="24"/>
        </w:rPr>
      </w:pPr>
      <w:r>
        <w:rPr>
          <w:rFonts w:ascii="Arial Narrow" w:hAnsi="Arial Narrow"/>
          <w:sz w:val="24"/>
        </w:rPr>
        <w:t>This would then be divided by net PV cost at constant prices to give the net benefit:cost ratio. In this case (accepting that this is gross impact) this would give a ratio of 12:1 (£6.602 million GVA /£0.543 costs).</w:t>
      </w:r>
    </w:p>
    <w:p w:rsidR="009478CA" w:rsidRDefault="009478CA" w:rsidP="009478CA">
      <w:pPr>
        <w:jc w:val="both"/>
        <w:rPr>
          <w:rFonts w:ascii="Arial Narrow" w:hAnsi="Arial Narrow"/>
          <w:b/>
          <w:sz w:val="28"/>
          <w:szCs w:val="28"/>
        </w:rPr>
      </w:pPr>
      <w:r>
        <w:rPr>
          <w:rFonts w:ascii="Arial Narrow" w:hAnsi="Arial Narrow"/>
          <w:b/>
          <w:sz w:val="28"/>
          <w:szCs w:val="28"/>
        </w:rPr>
        <w:t>Need more help?</w:t>
      </w:r>
    </w:p>
    <w:p w:rsidR="009478CA" w:rsidRDefault="009478CA" w:rsidP="009478CA">
      <w:pPr>
        <w:jc w:val="both"/>
        <w:rPr>
          <w:rFonts w:ascii="Arial Narrow" w:hAnsi="Arial Narrow"/>
          <w:sz w:val="24"/>
          <w:szCs w:val="24"/>
        </w:rPr>
      </w:pPr>
      <w:r>
        <w:rPr>
          <w:rFonts w:ascii="Arial Narrow" w:hAnsi="Arial Narrow"/>
          <w:sz w:val="24"/>
          <w:szCs w:val="24"/>
        </w:rPr>
        <w:t>For further information contact:-</w:t>
      </w:r>
    </w:p>
    <w:p w:rsidR="009478CA" w:rsidRDefault="009478CA" w:rsidP="009478CA">
      <w:pPr>
        <w:jc w:val="both"/>
        <w:rPr>
          <w:rFonts w:ascii="Arial Narrow" w:hAnsi="Arial Narrow"/>
          <w:sz w:val="24"/>
          <w:szCs w:val="24"/>
        </w:rPr>
      </w:pPr>
      <w:r>
        <w:rPr>
          <w:rFonts w:ascii="Arial Narrow" w:hAnsi="Arial Narrow"/>
          <w:sz w:val="24"/>
          <w:szCs w:val="24"/>
        </w:rPr>
        <w:t>Suzanne Fleming, 0141-228-2062</w:t>
      </w:r>
    </w:p>
    <w:p w:rsidR="009478CA" w:rsidRDefault="009478CA" w:rsidP="009478CA">
      <w:pPr>
        <w:jc w:val="both"/>
        <w:rPr>
          <w:rFonts w:ascii="Arial Narrow" w:hAnsi="Arial Narrow"/>
          <w:sz w:val="24"/>
          <w:szCs w:val="24"/>
        </w:rPr>
      </w:pPr>
    </w:p>
    <w:p w:rsidR="009478CA" w:rsidRDefault="009478CA" w:rsidP="009478CA">
      <w:pPr>
        <w:jc w:val="both"/>
        <w:rPr>
          <w:rFonts w:ascii="Arial Narrow" w:hAnsi="Arial Narrow"/>
          <w:sz w:val="24"/>
          <w:szCs w:val="24"/>
        </w:rPr>
      </w:pPr>
    </w:p>
    <w:p w:rsidR="002B4B6D" w:rsidRDefault="002B4B6D"/>
    <w:sectPr w:rsidR="002B4B6D" w:rsidSect="002B4B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CB" w:rsidRDefault="00BD67CB" w:rsidP="009478CA">
      <w:pPr>
        <w:spacing w:after="0" w:line="240" w:lineRule="auto"/>
      </w:pPr>
      <w:r>
        <w:separator/>
      </w:r>
    </w:p>
  </w:endnote>
  <w:endnote w:type="continuationSeparator" w:id="0">
    <w:p w:rsidR="00BD67CB" w:rsidRDefault="00BD67CB" w:rsidP="00947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CB" w:rsidRDefault="00BD67CB">
    <w:pPr>
      <w:pStyle w:val="Footer"/>
      <w:pBdr>
        <w:top w:val="thinThickSmallGap" w:sz="24" w:space="1" w:color="622423" w:themeColor="accent2" w:themeShade="7F"/>
      </w:pBdr>
      <w:rPr>
        <w:rFonts w:asciiTheme="majorHAnsi" w:hAnsiTheme="majorHAnsi"/>
      </w:rPr>
    </w:pPr>
    <w:r w:rsidRPr="009478CA">
      <w:rPr>
        <w:rFonts w:ascii="Arial Narrow" w:hAnsi="Arial Narrow"/>
        <w:i/>
        <w:sz w:val="16"/>
        <w:szCs w:val="16"/>
      </w:rPr>
      <w:t>January 2014</w:t>
    </w:r>
    <w:r w:rsidRPr="009478CA">
      <w:rPr>
        <w:rFonts w:ascii="Arial Narrow" w:hAnsi="Arial Narrow"/>
        <w:i/>
        <w:sz w:val="16"/>
        <w:szCs w:val="16"/>
      </w:rPr>
      <w:ptab w:relativeTo="margin" w:alignment="right" w:leader="none"/>
    </w:r>
    <w:r>
      <w:rPr>
        <w:rFonts w:asciiTheme="majorHAnsi" w:hAnsiTheme="majorHAnsi"/>
      </w:rPr>
      <w:t xml:space="preserve"> </w:t>
    </w:r>
    <w:fldSimple w:instr=" PAGE   \* MERGEFORMAT ">
      <w:r w:rsidR="003F461F" w:rsidRPr="003F461F">
        <w:rPr>
          <w:rFonts w:asciiTheme="majorHAnsi" w:hAnsiTheme="majorHAnsi"/>
          <w:noProof/>
        </w:rPr>
        <w:t>1</w:t>
      </w:r>
    </w:fldSimple>
  </w:p>
  <w:p w:rsidR="00BD67CB" w:rsidRDefault="00BD6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CB" w:rsidRDefault="00BD67CB" w:rsidP="009478CA">
      <w:pPr>
        <w:spacing w:after="0" w:line="240" w:lineRule="auto"/>
      </w:pPr>
      <w:r>
        <w:separator/>
      </w:r>
    </w:p>
  </w:footnote>
  <w:footnote w:type="continuationSeparator" w:id="0">
    <w:p w:rsidR="00BD67CB" w:rsidRDefault="00BD67CB" w:rsidP="009478CA">
      <w:pPr>
        <w:spacing w:after="0" w:line="240" w:lineRule="auto"/>
      </w:pPr>
      <w:r>
        <w:continuationSeparator/>
      </w:r>
    </w:p>
  </w:footnote>
  <w:footnote w:id="1">
    <w:p w:rsidR="00BD67CB" w:rsidRDefault="00BD67CB" w:rsidP="009478CA">
      <w:pPr>
        <w:rPr>
          <w:rFonts w:ascii="Arial Narrow" w:hAnsi="Arial Narrow"/>
          <w:sz w:val="16"/>
          <w:szCs w:val="16"/>
        </w:rPr>
      </w:pPr>
      <w:r>
        <w:rPr>
          <w:rStyle w:val="FootnoteReference"/>
        </w:rPr>
        <w:footnoteRef/>
      </w:r>
      <w:r>
        <w:t xml:space="preserve"> </w:t>
      </w:r>
      <w:hyperlink r:id="rId1" w:history="1">
        <w:r>
          <w:rPr>
            <w:rStyle w:val="Hyperlink"/>
            <w:sz w:val="16"/>
            <w:szCs w:val="16"/>
          </w:rPr>
          <w:t>https://www.gov.uk/government/uploads/system/uploads/attachment_data/file/220541/green_book_complete.pdf</w:t>
        </w:r>
      </w:hyperlink>
    </w:p>
    <w:p w:rsidR="00BD67CB" w:rsidRDefault="00BD67CB" w:rsidP="009478CA">
      <w:pPr>
        <w:pStyle w:val="FootnoteText"/>
      </w:pPr>
    </w:p>
  </w:footnote>
  <w:footnote w:id="2">
    <w:p w:rsidR="00BD67CB" w:rsidRDefault="00BD67CB" w:rsidP="009478CA">
      <w:pPr>
        <w:pStyle w:val="FootnoteText"/>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 xml:space="preserve"> </w:t>
      </w:r>
      <w:hyperlink r:id="rId2" w:history="1">
        <w:r>
          <w:rPr>
            <w:rStyle w:val="Hyperlink"/>
            <w:sz w:val="16"/>
            <w:szCs w:val="16"/>
          </w:rPr>
          <w:t>http://www.hm-treasury.gov.uk/data_gdp_index.htm</w:t>
        </w:r>
      </w:hyperlink>
    </w:p>
    <w:p w:rsidR="00BD67CB" w:rsidRDefault="00BD67CB" w:rsidP="009478CA">
      <w:pPr>
        <w:pStyle w:val="FootnoteText"/>
      </w:pPr>
    </w:p>
  </w:footnote>
  <w:footnote w:id="3">
    <w:p w:rsidR="00BD67CB" w:rsidRDefault="00BD67CB" w:rsidP="009478CA">
      <w:pPr>
        <w:pStyle w:val="FootnoteText"/>
        <w:rPr>
          <w:sz w:val="16"/>
          <w:szCs w:val="16"/>
        </w:rPr>
      </w:pPr>
      <w:r>
        <w:rPr>
          <w:rStyle w:val="FootnoteReference"/>
        </w:rPr>
        <w:footnoteRef/>
      </w:r>
      <w:r>
        <w:t xml:space="preserve"> </w:t>
      </w:r>
      <w:r>
        <w:rPr>
          <w:rFonts w:ascii="Arial Narrow" w:hAnsi="Arial Narrow"/>
          <w:sz w:val="16"/>
          <w:szCs w:val="16"/>
        </w:rPr>
        <w:t>Thus if we consider the Year 2 GVA current price impact of £0.550 million (Column 5, row 3). This becomes a constant price (at the Year 5 base year)   of £0.587 million (550 x (100/93.745)).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CB" w:rsidRPr="009478CA" w:rsidRDefault="00BD67CB">
    <w:pPr>
      <w:pStyle w:val="Header"/>
      <w:rPr>
        <w:rFonts w:ascii="Arial Narrow" w:hAnsi="Arial Narrow"/>
        <w:i/>
        <w:sz w:val="16"/>
        <w:szCs w:val="16"/>
      </w:rPr>
    </w:pPr>
    <w:r w:rsidRPr="009478CA">
      <w:rPr>
        <w:rFonts w:ascii="Arial Narrow" w:hAnsi="Arial Narrow"/>
        <w:i/>
        <w:sz w:val="16"/>
        <w:szCs w:val="16"/>
      </w:rPr>
      <w:t>Scottish Enterprise Economic Impact Guidance</w:t>
    </w:r>
  </w:p>
  <w:p w:rsidR="00BD67CB" w:rsidRDefault="00BD6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54B"/>
    <w:multiLevelType w:val="hybridMultilevel"/>
    <w:tmpl w:val="7D5A6288"/>
    <w:lvl w:ilvl="0" w:tplc="08090001">
      <w:start w:val="1"/>
      <w:numFmt w:val="bullet"/>
      <w:lvlText w:val=""/>
      <w:lvlJc w:val="left"/>
      <w:pPr>
        <w:tabs>
          <w:tab w:val="num" w:pos="778"/>
        </w:tabs>
        <w:ind w:left="77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D261598"/>
    <w:multiLevelType w:val="hybridMultilevel"/>
    <w:tmpl w:val="57664AC6"/>
    <w:lvl w:ilvl="0" w:tplc="08090001">
      <w:start w:val="1"/>
      <w:numFmt w:val="bullet"/>
      <w:lvlText w:val=""/>
      <w:lvlJc w:val="left"/>
      <w:pPr>
        <w:tabs>
          <w:tab w:val="num" w:pos="778"/>
        </w:tabs>
        <w:ind w:left="77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FC2020"/>
    <w:multiLevelType w:val="hybridMultilevel"/>
    <w:tmpl w:val="695ED6E6"/>
    <w:lvl w:ilvl="0" w:tplc="08090001">
      <w:start w:val="1"/>
      <w:numFmt w:val="bullet"/>
      <w:lvlText w:val=""/>
      <w:lvlJc w:val="left"/>
      <w:pPr>
        <w:tabs>
          <w:tab w:val="num" w:pos="778"/>
        </w:tabs>
        <w:ind w:left="77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8BC52B9"/>
    <w:multiLevelType w:val="hybridMultilevel"/>
    <w:tmpl w:val="9E98D5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6FD1BE1"/>
    <w:multiLevelType w:val="hybridMultilevel"/>
    <w:tmpl w:val="5E7ADA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478CA"/>
    <w:rsid w:val="0003597B"/>
    <w:rsid w:val="002B4B6D"/>
    <w:rsid w:val="003F461F"/>
    <w:rsid w:val="009478CA"/>
    <w:rsid w:val="00B23A91"/>
    <w:rsid w:val="00B748AD"/>
    <w:rsid w:val="00BC7E06"/>
    <w:rsid w:val="00BD67CB"/>
    <w:rsid w:val="00C54746"/>
    <w:rsid w:val="00CC19BC"/>
    <w:rsid w:val="00D04185"/>
    <w:rsid w:val="00D30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A"/>
    <w:rPr>
      <w:rFonts w:ascii="Calibri" w:eastAsia="Calibri" w:hAnsi="Calibri" w:cs="Times New Roman"/>
    </w:rPr>
  </w:style>
  <w:style w:type="paragraph" w:styleId="Heading1">
    <w:name w:val="heading 1"/>
    <w:basedOn w:val="Normal"/>
    <w:next w:val="Normal"/>
    <w:link w:val="Heading1Char"/>
    <w:qFormat/>
    <w:rsid w:val="009478CA"/>
    <w:pPr>
      <w:spacing w:before="240"/>
      <w:jc w:val="center"/>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8CA"/>
    <w:rPr>
      <w:rFonts w:ascii="Calibri" w:eastAsia="Calibri" w:hAnsi="Calibri" w:cs="Times New Roman"/>
      <w:b/>
      <w:sz w:val="40"/>
      <w:szCs w:val="40"/>
    </w:rPr>
  </w:style>
  <w:style w:type="character" w:styleId="Hyperlink">
    <w:name w:val="Hyperlink"/>
    <w:basedOn w:val="DefaultParagraphFont"/>
    <w:semiHidden/>
    <w:unhideWhenUsed/>
    <w:rsid w:val="009478CA"/>
    <w:rPr>
      <w:rFonts w:ascii="Times New Roman" w:hAnsi="Times New Roman" w:cs="Times New Roman" w:hint="default"/>
      <w:color w:val="0000FF"/>
      <w:u w:val="single"/>
    </w:rPr>
  </w:style>
  <w:style w:type="paragraph" w:styleId="FootnoteText">
    <w:name w:val="footnote text"/>
    <w:basedOn w:val="Normal"/>
    <w:link w:val="FootnoteTextChar"/>
    <w:semiHidden/>
    <w:unhideWhenUsed/>
    <w:rsid w:val="009478CA"/>
    <w:rPr>
      <w:sz w:val="20"/>
      <w:szCs w:val="20"/>
    </w:rPr>
  </w:style>
  <w:style w:type="character" w:customStyle="1" w:styleId="FootnoteTextChar">
    <w:name w:val="Footnote Text Char"/>
    <w:basedOn w:val="DefaultParagraphFont"/>
    <w:link w:val="FootnoteText"/>
    <w:semiHidden/>
    <w:rsid w:val="009478CA"/>
    <w:rPr>
      <w:rFonts w:ascii="Calibri" w:eastAsia="Calibri" w:hAnsi="Calibri" w:cs="Times New Roman"/>
      <w:sz w:val="20"/>
      <w:szCs w:val="20"/>
    </w:rPr>
  </w:style>
  <w:style w:type="character" w:styleId="FootnoteReference">
    <w:name w:val="footnote reference"/>
    <w:basedOn w:val="DefaultParagraphFont"/>
    <w:semiHidden/>
    <w:unhideWhenUsed/>
    <w:rsid w:val="009478CA"/>
    <w:rPr>
      <w:vertAlign w:val="superscript"/>
    </w:rPr>
  </w:style>
  <w:style w:type="paragraph" w:styleId="BalloonText">
    <w:name w:val="Balloon Text"/>
    <w:basedOn w:val="Normal"/>
    <w:link w:val="BalloonTextChar"/>
    <w:uiPriority w:val="99"/>
    <w:semiHidden/>
    <w:unhideWhenUsed/>
    <w:rsid w:val="0094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CA"/>
    <w:rPr>
      <w:rFonts w:ascii="Tahoma" w:eastAsia="Calibri" w:hAnsi="Tahoma" w:cs="Tahoma"/>
      <w:sz w:val="16"/>
      <w:szCs w:val="16"/>
    </w:rPr>
  </w:style>
  <w:style w:type="paragraph" w:styleId="Header">
    <w:name w:val="header"/>
    <w:basedOn w:val="Normal"/>
    <w:link w:val="HeaderChar"/>
    <w:uiPriority w:val="99"/>
    <w:unhideWhenUsed/>
    <w:rsid w:val="00947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8CA"/>
    <w:rPr>
      <w:rFonts w:ascii="Calibri" w:eastAsia="Calibri" w:hAnsi="Calibri" w:cs="Times New Roman"/>
    </w:rPr>
  </w:style>
  <w:style w:type="paragraph" w:styleId="Footer">
    <w:name w:val="footer"/>
    <w:basedOn w:val="Normal"/>
    <w:link w:val="FooterChar"/>
    <w:uiPriority w:val="99"/>
    <w:unhideWhenUsed/>
    <w:rsid w:val="00947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8C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27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m-treasury.gov.uk/data_gdp_index.htm" TargetMode="External"/><Relationship Id="rId1" Type="http://schemas.openxmlformats.org/officeDocument/2006/relationships/hyperlink" Target="https://www.gov.uk/government/uploads/system/uploads/attachment_data/file/220541/green_book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hayton</cp:lastModifiedBy>
  <cp:revision>3</cp:revision>
  <dcterms:created xsi:type="dcterms:W3CDTF">2014-01-15T14:59:00Z</dcterms:created>
  <dcterms:modified xsi:type="dcterms:W3CDTF">2014-03-27T11:46:00Z</dcterms:modified>
</cp:coreProperties>
</file>